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keepNext w:val="0"/>
        <w:keepLines w:val="0"/>
        <w:pageBreakBefore w:val="0"/>
        <w:widowControl w:val="0"/>
        <w:kinsoku/>
        <w:wordWrap/>
        <w:overflowPunct/>
        <w:topLinePunct w:val="0"/>
        <w:autoSpaceDE/>
        <w:autoSpaceDN/>
        <w:bidi w:val="0"/>
        <w:adjustRightInd/>
        <w:snapToGrid/>
        <w:spacing w:line="760" w:lineRule="exact"/>
        <w:jc w:val="center"/>
        <w:textAlignment w:val="auto"/>
        <w:outlineLvl w:val="9"/>
        <w:rPr>
          <w:rFonts w:hint="eastAsia" w:ascii="仿宋" w:hAnsi="仿宋" w:eastAsia="仿宋" w:cs="仿宋"/>
          <w:b/>
          <w:bCs/>
          <w:color w:val="auto"/>
          <w:sz w:val="40"/>
          <w:szCs w:val="4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outlineLvl w:val="9"/>
        <w:rPr>
          <w:rFonts w:hint="eastAsia" w:ascii="仿宋" w:hAnsi="仿宋" w:eastAsia="仿宋" w:cs="仿宋"/>
          <w:b/>
          <w:bCs/>
          <w:color w:val="auto"/>
          <w:sz w:val="48"/>
          <w:szCs w:val="48"/>
          <w:highlight w:val="none"/>
          <w:lang w:val="en-US" w:eastAsia="zh-CN"/>
        </w:rPr>
      </w:pPr>
      <w:r>
        <w:rPr>
          <w:rFonts w:hint="eastAsia" w:ascii="仿宋" w:hAnsi="仿宋" w:eastAsia="仿宋" w:cs="仿宋"/>
          <w:b/>
          <w:bCs/>
          <w:color w:val="auto"/>
          <w:sz w:val="48"/>
          <w:szCs w:val="48"/>
          <w:highlight w:val="none"/>
          <w:lang w:val="en-US" w:eastAsia="zh-CN"/>
        </w:rPr>
        <w:t>阿图什市街道办事处社区卫生服务中心项目设备采购项目（4包）</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outlineLvl w:val="9"/>
        <w:rPr>
          <w:rFonts w:hint="default" w:ascii="仿宋" w:hAnsi="仿宋" w:eastAsia="仿宋" w:cs="仿宋"/>
          <w:b/>
          <w:color w:val="auto"/>
          <w:kern w:val="0"/>
          <w:sz w:val="40"/>
          <w:szCs w:val="40"/>
          <w:highlight w:val="none"/>
          <w:lang w:val="en-US"/>
        </w:rPr>
      </w:pPr>
      <w:r>
        <w:rPr>
          <w:rFonts w:hint="eastAsia" w:ascii="仿宋" w:hAnsi="仿宋" w:eastAsia="仿宋" w:cs="仿宋"/>
          <w:b/>
          <w:bCs/>
          <w:color w:val="auto"/>
          <w:sz w:val="40"/>
          <w:szCs w:val="40"/>
          <w:highlight w:val="none"/>
          <w:lang w:eastAsia="zh-CN"/>
        </w:rPr>
        <w:t>项目编号：ATSSJYZX-2022</w:t>
      </w:r>
      <w:r>
        <w:rPr>
          <w:rFonts w:hint="eastAsia" w:ascii="仿宋" w:hAnsi="仿宋" w:eastAsia="仿宋" w:cs="仿宋"/>
          <w:b/>
          <w:bCs/>
          <w:color w:val="auto"/>
          <w:sz w:val="40"/>
          <w:szCs w:val="40"/>
          <w:highlight w:val="none"/>
          <w:lang w:val="en-US" w:eastAsia="zh-CN"/>
        </w:rPr>
        <w:t>082-4</w:t>
      </w:r>
    </w:p>
    <w:p>
      <w:pPr>
        <w:pStyle w:val="2"/>
        <w:keepNext w:val="0"/>
        <w:keepLines w:val="0"/>
        <w:pageBreakBefore w:val="0"/>
        <w:widowControl w:val="0"/>
        <w:kinsoku/>
        <w:wordWrap/>
        <w:overflowPunct/>
        <w:topLinePunct w:val="0"/>
        <w:bidi w:val="0"/>
        <w:snapToGrid/>
        <w:spacing w:line="760" w:lineRule="exact"/>
        <w:textAlignment w:val="auto"/>
        <w:outlineLvl w:val="9"/>
        <w:rPr>
          <w:rFonts w:hint="eastAsia" w:ascii="仿宋" w:hAnsi="仿宋" w:eastAsia="仿宋" w:cs="仿宋"/>
          <w:color w:val="auto"/>
          <w:highlight w:val="none"/>
        </w:rPr>
      </w:pPr>
    </w:p>
    <w:p>
      <w:pPr>
        <w:pStyle w:val="2"/>
        <w:outlineLvl w:val="9"/>
        <w:rPr>
          <w:rFonts w:hint="eastAsia" w:ascii="仿宋" w:hAnsi="仿宋" w:eastAsia="仿宋" w:cs="仿宋"/>
          <w:color w:val="auto"/>
          <w:highlight w:val="none"/>
        </w:rPr>
      </w:pPr>
    </w:p>
    <w:p>
      <w:pPr>
        <w:pStyle w:val="2"/>
        <w:jc w:val="center"/>
        <w:outlineLvl w:val="9"/>
        <w:rPr>
          <w:rFonts w:hint="eastAsia" w:ascii="仿宋" w:hAnsi="仿宋" w:eastAsia="仿宋" w:cs="仿宋"/>
          <w:b/>
          <w:color w:val="auto"/>
          <w:sz w:val="96"/>
          <w:szCs w:val="96"/>
          <w:highlight w:val="none"/>
          <w:lang w:eastAsia="zh-CN"/>
        </w:rPr>
      </w:pPr>
      <w:r>
        <w:rPr>
          <w:rFonts w:hint="eastAsia" w:ascii="仿宋" w:hAnsi="仿宋" w:eastAsia="仿宋" w:cs="仿宋"/>
          <w:b/>
          <w:color w:val="auto"/>
          <w:sz w:val="96"/>
          <w:szCs w:val="96"/>
          <w:highlight w:val="none"/>
          <w:lang w:eastAsia="zh-CN"/>
        </w:rPr>
        <w:t>招</w:t>
      </w:r>
    </w:p>
    <w:p>
      <w:pPr>
        <w:pStyle w:val="2"/>
        <w:jc w:val="center"/>
        <w:outlineLvl w:val="9"/>
        <w:rPr>
          <w:rFonts w:hint="eastAsia" w:ascii="仿宋" w:hAnsi="仿宋" w:eastAsia="仿宋" w:cs="仿宋"/>
          <w:b/>
          <w:bCs/>
          <w:color w:val="auto"/>
          <w:sz w:val="96"/>
          <w:szCs w:val="96"/>
          <w:highlight w:val="none"/>
          <w:lang w:eastAsia="zh-CN"/>
        </w:rPr>
      </w:pPr>
      <w:r>
        <w:rPr>
          <w:rFonts w:hint="eastAsia" w:ascii="仿宋" w:hAnsi="仿宋" w:eastAsia="仿宋" w:cs="仿宋"/>
          <w:b/>
          <w:color w:val="auto"/>
          <w:sz w:val="96"/>
          <w:szCs w:val="96"/>
          <w:highlight w:val="none"/>
          <w:lang w:eastAsia="zh-CN"/>
        </w:rPr>
        <w:t>标</w:t>
      </w:r>
    </w:p>
    <w:p>
      <w:pPr>
        <w:pStyle w:val="2"/>
        <w:jc w:val="center"/>
        <w:outlineLvl w:val="9"/>
        <w:rPr>
          <w:rFonts w:hint="eastAsia" w:ascii="仿宋" w:hAnsi="仿宋" w:eastAsia="仿宋" w:cs="仿宋"/>
          <w:b/>
          <w:bCs/>
          <w:color w:val="auto"/>
          <w:sz w:val="96"/>
          <w:szCs w:val="96"/>
          <w:highlight w:val="none"/>
          <w:lang w:eastAsia="zh-CN"/>
        </w:rPr>
      </w:pPr>
      <w:r>
        <w:rPr>
          <w:rFonts w:hint="eastAsia" w:ascii="仿宋" w:hAnsi="仿宋" w:eastAsia="仿宋" w:cs="仿宋"/>
          <w:b/>
          <w:bCs/>
          <w:color w:val="auto"/>
          <w:sz w:val="96"/>
          <w:szCs w:val="96"/>
          <w:highlight w:val="none"/>
          <w:lang w:eastAsia="zh-CN"/>
        </w:rPr>
        <w:t>文</w:t>
      </w:r>
    </w:p>
    <w:p>
      <w:pPr>
        <w:pStyle w:val="2"/>
        <w:jc w:val="center"/>
        <w:outlineLvl w:val="9"/>
        <w:rPr>
          <w:rFonts w:hint="eastAsia" w:ascii="仿宋" w:hAnsi="仿宋" w:eastAsia="仿宋" w:cs="仿宋"/>
          <w:color w:val="auto"/>
          <w:sz w:val="84"/>
          <w:szCs w:val="84"/>
          <w:highlight w:val="none"/>
          <w:lang w:eastAsia="zh-CN"/>
        </w:rPr>
      </w:pPr>
      <w:r>
        <w:rPr>
          <w:rFonts w:hint="eastAsia" w:ascii="仿宋" w:hAnsi="仿宋" w:eastAsia="仿宋" w:cs="仿宋"/>
          <w:b/>
          <w:bCs/>
          <w:color w:val="auto"/>
          <w:sz w:val="96"/>
          <w:szCs w:val="96"/>
          <w:highlight w:val="none"/>
          <w:lang w:eastAsia="zh-CN"/>
        </w:rPr>
        <w:t>件</w:t>
      </w:r>
    </w:p>
    <w:p>
      <w:pPr>
        <w:pStyle w:val="2"/>
        <w:outlineLvl w:val="9"/>
        <w:rPr>
          <w:rFonts w:hint="eastAsia" w:ascii="仿宋" w:hAnsi="仿宋" w:eastAsia="仿宋" w:cs="仿宋"/>
          <w:color w:val="auto"/>
          <w:highlight w:val="none"/>
        </w:rPr>
      </w:pP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outlineLvl w:val="9"/>
        <w:rPr>
          <w:rFonts w:hint="eastAsia" w:ascii="仿宋" w:hAnsi="仿宋" w:eastAsia="仿宋" w:cs="仿宋"/>
          <w:color w:val="auto"/>
          <w:sz w:val="36"/>
          <w:szCs w:val="36"/>
          <w:highlight w:val="none"/>
          <w:lang w:eastAsia="zh-CN"/>
        </w:rPr>
      </w:pPr>
      <w:r>
        <w:rPr>
          <w:rFonts w:hint="eastAsia" w:ascii="仿宋" w:hAnsi="仿宋" w:eastAsia="仿宋" w:cs="仿宋"/>
          <w:color w:val="auto"/>
          <w:sz w:val="36"/>
          <w:szCs w:val="36"/>
          <w:highlight w:val="none"/>
        </w:rPr>
        <w:t>采购单位：</w:t>
      </w:r>
      <w:r>
        <w:rPr>
          <w:rFonts w:hint="eastAsia" w:ascii="仿宋" w:hAnsi="仿宋" w:eastAsia="仿宋" w:cs="仿宋"/>
          <w:color w:val="auto"/>
          <w:sz w:val="36"/>
          <w:szCs w:val="36"/>
          <w:highlight w:val="none"/>
          <w:lang w:eastAsia="zh-CN"/>
        </w:rPr>
        <w:t>阿图什市卫生健康委员会</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outlineLvl w:val="9"/>
        <w:rPr>
          <w:rFonts w:hint="eastAsia" w:ascii="仿宋" w:hAnsi="仿宋" w:eastAsia="仿宋" w:cs="仿宋"/>
          <w:color w:val="auto"/>
          <w:sz w:val="36"/>
          <w:szCs w:val="36"/>
          <w:highlight w:val="none"/>
          <w:lang w:val="en-US" w:eastAsia="zh-CN"/>
        </w:rPr>
      </w:pPr>
      <w:r>
        <w:rPr>
          <w:rFonts w:hint="eastAsia" w:ascii="仿宋" w:hAnsi="仿宋" w:eastAsia="仿宋" w:cs="仿宋"/>
          <w:color w:val="auto"/>
          <w:sz w:val="36"/>
          <w:szCs w:val="36"/>
          <w:highlight w:val="none"/>
          <w:lang w:val="en-US" w:eastAsia="zh-CN"/>
        </w:rPr>
        <w:t>联 系 人：胡先生</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outlineLvl w:val="9"/>
        <w:rPr>
          <w:rFonts w:hint="eastAsia" w:ascii="仿宋" w:hAnsi="仿宋" w:eastAsia="仿宋" w:cs="仿宋"/>
          <w:color w:val="auto"/>
          <w:sz w:val="36"/>
          <w:szCs w:val="36"/>
          <w:highlight w:val="none"/>
          <w:lang w:val="en-US" w:eastAsia="zh-CN"/>
        </w:rPr>
      </w:pPr>
      <w:r>
        <w:rPr>
          <w:rFonts w:hint="eastAsia" w:ascii="仿宋" w:hAnsi="仿宋" w:eastAsia="仿宋" w:cs="仿宋"/>
          <w:color w:val="auto"/>
          <w:sz w:val="36"/>
          <w:szCs w:val="36"/>
          <w:highlight w:val="none"/>
          <w:lang w:val="en-US" w:eastAsia="zh-CN"/>
        </w:rPr>
        <w:t>联系电话：13345373958</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outlineLvl w:val="9"/>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t>代理机构：</w:t>
      </w:r>
      <w:r>
        <w:rPr>
          <w:rFonts w:hint="eastAsia" w:ascii="仿宋" w:hAnsi="仿宋" w:eastAsia="仿宋" w:cs="仿宋"/>
          <w:color w:val="auto"/>
          <w:sz w:val="36"/>
          <w:szCs w:val="36"/>
          <w:highlight w:val="none"/>
          <w:lang w:eastAsia="zh-CN"/>
        </w:rPr>
        <w:t>新疆天勤工程管理有限公司</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outlineLvl w:val="9"/>
        <w:rPr>
          <w:rFonts w:hint="eastAsia" w:ascii="仿宋" w:hAnsi="仿宋" w:eastAsia="仿宋" w:cs="仿宋"/>
          <w:color w:val="auto"/>
          <w:sz w:val="36"/>
          <w:szCs w:val="36"/>
          <w:highlight w:val="none"/>
          <w:lang w:eastAsia="zh-CN"/>
        </w:rPr>
      </w:pPr>
      <w:r>
        <w:rPr>
          <w:rFonts w:hint="eastAsia" w:ascii="仿宋" w:hAnsi="仿宋" w:eastAsia="仿宋" w:cs="仿宋"/>
          <w:color w:val="auto"/>
          <w:sz w:val="36"/>
          <w:szCs w:val="36"/>
          <w:highlight w:val="none"/>
        </w:rPr>
        <w:t>联 系 人：</w:t>
      </w:r>
      <w:r>
        <w:rPr>
          <w:rFonts w:hint="eastAsia" w:ascii="仿宋" w:hAnsi="仿宋" w:eastAsia="仿宋" w:cs="仿宋"/>
          <w:color w:val="auto"/>
          <w:sz w:val="36"/>
          <w:szCs w:val="36"/>
          <w:highlight w:val="none"/>
          <w:lang w:val="en-US" w:eastAsia="zh-CN"/>
        </w:rPr>
        <w:t>王</w:t>
      </w:r>
      <w:r>
        <w:rPr>
          <w:rFonts w:hint="eastAsia" w:ascii="仿宋" w:hAnsi="仿宋" w:eastAsia="仿宋" w:cs="仿宋"/>
          <w:color w:val="auto"/>
          <w:sz w:val="36"/>
          <w:szCs w:val="36"/>
          <w:highlight w:val="none"/>
          <w:lang w:eastAsia="zh-CN"/>
        </w:rPr>
        <w:t>先生</w:t>
      </w:r>
    </w:p>
    <w:p>
      <w:pPr>
        <w:ind w:firstLine="360" w:firstLineChars="100"/>
        <w:jc w:val="both"/>
        <w:outlineLvl w:val="9"/>
        <w:rPr>
          <w:rFonts w:hint="eastAsia" w:ascii="仿宋" w:hAnsi="仿宋" w:eastAsia="仿宋" w:cs="仿宋"/>
          <w:b/>
          <w:color w:val="auto"/>
          <w:sz w:val="36"/>
          <w:szCs w:val="36"/>
          <w:highlight w:val="none"/>
        </w:rPr>
      </w:pPr>
      <w:r>
        <w:rPr>
          <w:rFonts w:hint="eastAsia" w:ascii="仿宋" w:hAnsi="仿宋" w:eastAsia="仿宋" w:cs="仿宋"/>
          <w:color w:val="auto"/>
          <w:sz w:val="36"/>
          <w:szCs w:val="36"/>
          <w:highlight w:val="none"/>
          <w:lang w:val="en-US" w:eastAsia="zh-CN"/>
        </w:rPr>
        <w:t>联系电话：13779615026</w:t>
      </w:r>
    </w:p>
    <w:p>
      <w:pPr>
        <w:jc w:val="center"/>
        <w:outlineLvl w:val="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招投标监督管理机构备案登记栏</w:t>
      </w:r>
    </w:p>
    <w:tbl>
      <w:tblPr>
        <w:tblStyle w:val="25"/>
        <w:tblW w:w="8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5" w:hRule="atLeast"/>
          <w:jc w:val="center"/>
        </w:trPr>
        <w:tc>
          <w:tcPr>
            <w:tcW w:w="8854" w:type="dxa"/>
          </w:tcPr>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highlight w:val="none"/>
              </w:rPr>
            </w:pP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highlight w:val="none"/>
              </w:rPr>
            </w:pP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w w:val="95"/>
                <w:sz w:val="32"/>
                <w:szCs w:val="32"/>
                <w:highlight w:val="none"/>
                <w:lang w:val="en-US" w:eastAsia="zh-CN"/>
              </w:rPr>
            </w:pPr>
            <w:r>
              <w:rPr>
                <w:rFonts w:hint="eastAsia" w:ascii="仿宋" w:hAnsi="仿宋" w:eastAsia="仿宋" w:cs="仿宋"/>
                <w:color w:val="auto"/>
                <w:sz w:val="32"/>
                <w:szCs w:val="32"/>
                <w:highlight w:val="none"/>
              </w:rPr>
              <w:t>采购单位：</w:t>
            </w:r>
            <w:r>
              <w:rPr>
                <w:rFonts w:hint="eastAsia" w:ascii="仿宋" w:hAnsi="仿宋" w:eastAsia="仿宋" w:cs="仿宋"/>
                <w:color w:val="auto"/>
                <w:sz w:val="32"/>
                <w:szCs w:val="32"/>
                <w:highlight w:val="none"/>
                <w:lang w:val="en-US" w:eastAsia="zh-CN"/>
              </w:rPr>
              <w:t xml:space="preserve">阿图什市卫生健康委员会  </w:t>
            </w:r>
            <w:r>
              <w:rPr>
                <w:rFonts w:hint="eastAsia" w:ascii="仿宋" w:hAnsi="仿宋" w:eastAsia="仿宋" w:cs="仿宋"/>
                <w:color w:val="auto"/>
                <w:w w:val="95"/>
                <w:sz w:val="32"/>
                <w:szCs w:val="32"/>
                <w:highlight w:val="none"/>
                <w:lang w:eastAsia="zh-CN"/>
              </w:rPr>
              <w:t>（盖章）</w:t>
            </w: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 xml:space="preserve"> </w:t>
            </w:r>
            <w:r>
              <w:rPr>
                <w:rFonts w:hint="eastAsia" w:ascii="仿宋" w:hAnsi="仿宋" w:eastAsia="仿宋" w:cs="仿宋"/>
                <w:color w:val="auto"/>
                <w:sz w:val="32"/>
                <w:szCs w:val="32"/>
                <w:highlight w:val="none"/>
                <w:lang w:val="en-US" w:eastAsia="zh-CN"/>
              </w:rPr>
              <w:t xml:space="preserve">                                           </w:t>
            </w: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z w:val="32"/>
                <w:szCs w:val="32"/>
                <w:highlight w:val="none"/>
              </w:rPr>
            </w:pP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z w:val="32"/>
                <w:szCs w:val="32"/>
                <w:highlight w:val="none"/>
              </w:rPr>
            </w:pPr>
          </w:p>
          <w:p>
            <w:pPr>
              <w:pageBreakBefore w:val="0"/>
              <w:widowControl w:val="0"/>
              <w:kinsoku/>
              <w:wordWrap/>
              <w:overflowPunct/>
              <w:topLinePunct w:val="0"/>
              <w:autoSpaceDE/>
              <w:autoSpaceDN/>
              <w:bidi w:val="0"/>
              <w:adjustRightInd/>
              <w:snapToGrid/>
              <w:spacing w:line="500" w:lineRule="exact"/>
              <w:ind w:left="3520" w:hanging="3520" w:hangingChars="1100"/>
              <w:jc w:val="left"/>
              <w:textAlignment w:val="auto"/>
              <w:outlineLvl w:val="9"/>
              <w:rPr>
                <w:rFonts w:hint="eastAsia" w:ascii="仿宋" w:hAnsi="仿宋" w:eastAsia="仿宋" w:cs="仿宋"/>
                <w:color w:val="auto"/>
                <w:sz w:val="32"/>
                <w:szCs w:val="32"/>
                <w:highlight w:val="none"/>
              </w:rPr>
            </w:pPr>
          </w:p>
          <w:p>
            <w:pPr>
              <w:pageBreakBefore w:val="0"/>
              <w:widowControl w:val="0"/>
              <w:kinsoku/>
              <w:wordWrap/>
              <w:overflowPunct/>
              <w:topLinePunct w:val="0"/>
              <w:autoSpaceDE/>
              <w:autoSpaceDN/>
              <w:bidi w:val="0"/>
              <w:adjustRightInd/>
              <w:snapToGrid/>
              <w:spacing w:line="500" w:lineRule="exact"/>
              <w:ind w:left="3520" w:hanging="3520" w:hangingChars="1100"/>
              <w:jc w:val="left"/>
              <w:textAlignment w:val="auto"/>
              <w:outlineLvl w:val="9"/>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项目名称：</w:t>
            </w:r>
            <w:r>
              <w:rPr>
                <w:rFonts w:hint="eastAsia" w:ascii="仿宋" w:hAnsi="仿宋" w:eastAsia="仿宋" w:cs="仿宋"/>
                <w:color w:val="auto"/>
                <w:sz w:val="32"/>
                <w:szCs w:val="32"/>
                <w:highlight w:val="none"/>
                <w:lang w:val="en-US" w:eastAsia="zh-CN"/>
              </w:rPr>
              <w:t>阿图什市街道办事处社区卫生服务中心项目设备采购项目（4包）</w:t>
            </w:r>
          </w:p>
          <w:p>
            <w:pPr>
              <w:pageBreakBefore w:val="0"/>
              <w:widowControl w:val="0"/>
              <w:kinsoku/>
              <w:wordWrap/>
              <w:overflowPunct/>
              <w:topLinePunct w:val="0"/>
              <w:autoSpaceDE/>
              <w:autoSpaceDN/>
              <w:bidi w:val="0"/>
              <w:adjustRightInd/>
              <w:snapToGrid/>
              <w:spacing w:line="500" w:lineRule="exact"/>
              <w:ind w:left="3520" w:hanging="3520" w:hangingChars="1100"/>
              <w:jc w:val="left"/>
              <w:textAlignment w:val="auto"/>
              <w:outlineLvl w:val="9"/>
              <w:rPr>
                <w:rFonts w:hint="eastAsia" w:ascii="仿宋" w:hAnsi="仿宋" w:eastAsia="仿宋" w:cs="仿宋"/>
                <w:color w:val="auto"/>
                <w:sz w:val="32"/>
                <w:szCs w:val="32"/>
                <w:highlight w:val="none"/>
                <w:lang w:eastAsia="zh-CN"/>
              </w:rPr>
            </w:pPr>
          </w:p>
          <w:p>
            <w:pPr>
              <w:pageBreakBefore w:val="0"/>
              <w:widowControl w:val="0"/>
              <w:kinsoku/>
              <w:wordWrap/>
              <w:overflowPunct/>
              <w:topLinePunct w:val="0"/>
              <w:autoSpaceDE/>
              <w:autoSpaceDN/>
              <w:bidi w:val="0"/>
              <w:adjustRightInd/>
              <w:snapToGrid/>
              <w:spacing w:line="500" w:lineRule="exact"/>
              <w:ind w:left="3520" w:hanging="3520" w:hangingChars="1100"/>
              <w:jc w:val="left"/>
              <w:textAlignment w:val="auto"/>
              <w:outlineLvl w:val="9"/>
              <w:rPr>
                <w:rFonts w:hint="eastAsia" w:ascii="仿宋" w:hAnsi="仿宋" w:eastAsia="仿宋" w:cs="仿宋"/>
                <w:color w:val="auto"/>
                <w:sz w:val="32"/>
                <w:szCs w:val="32"/>
                <w:highlight w:val="none"/>
                <w:lang w:eastAsia="zh-CN"/>
              </w:rPr>
            </w:pP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z w:val="32"/>
                <w:szCs w:val="32"/>
                <w:highlight w:val="none"/>
              </w:rPr>
            </w:pP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line="500" w:lineRule="exact"/>
              <w:textAlignment w:val="auto"/>
              <w:outlineLvl w:val="9"/>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代理机构：</w:t>
            </w:r>
            <w:r>
              <w:rPr>
                <w:rFonts w:hint="eastAsia" w:ascii="仿宋" w:hAnsi="仿宋" w:eastAsia="仿宋" w:cs="仿宋"/>
                <w:color w:val="auto"/>
                <w:sz w:val="32"/>
                <w:szCs w:val="32"/>
                <w:highlight w:val="none"/>
                <w:lang w:eastAsia="zh-CN"/>
              </w:rPr>
              <w:t>新疆天勤工程管理有限公司（盖章）</w:t>
            </w:r>
          </w:p>
          <w:p>
            <w:pPr>
              <w:jc w:val="center"/>
              <w:outlineLvl w:val="9"/>
              <w:rPr>
                <w:rFonts w:hint="eastAsia" w:ascii="仿宋" w:hAnsi="仿宋" w:eastAsia="仿宋" w:cs="仿宋"/>
                <w:color w:val="auto"/>
                <w:highlight w:val="none"/>
              </w:rPr>
            </w:pPr>
          </w:p>
          <w:p>
            <w:pPr>
              <w:jc w:val="center"/>
              <w:outlineLvl w:val="9"/>
              <w:rPr>
                <w:rFonts w:hint="eastAsia" w:ascii="仿宋" w:hAnsi="仿宋" w:eastAsia="仿宋" w:cs="仿宋"/>
                <w:color w:val="auto"/>
                <w:highlight w:val="none"/>
              </w:rPr>
            </w:pPr>
          </w:p>
          <w:p>
            <w:pPr>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日  期：20</w:t>
            </w:r>
            <w:r>
              <w:rPr>
                <w:rFonts w:hint="eastAsia" w:ascii="仿宋" w:hAnsi="仿宋" w:eastAsia="仿宋" w:cs="仿宋"/>
                <w:color w:val="auto"/>
                <w:highlight w:val="none"/>
                <w:lang w:val="en-US" w:eastAsia="zh-CN"/>
              </w:rPr>
              <w:t>22</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10</w:t>
            </w:r>
            <w:r>
              <w:rPr>
                <w:rFonts w:hint="eastAsia" w:ascii="仿宋" w:hAnsi="仿宋" w:eastAsia="仿宋" w:cs="仿宋"/>
                <w:color w:val="auto"/>
                <w:highlight w:val="none"/>
              </w:rPr>
              <w:t>月</w:t>
            </w:r>
          </w:p>
          <w:p>
            <w:pPr>
              <w:outlineLvl w:val="9"/>
              <w:rPr>
                <w:rFonts w:hint="eastAsia" w:ascii="仿宋" w:hAnsi="仿宋" w:eastAsia="仿宋" w:cs="仿宋"/>
                <w:color w:val="auto"/>
                <w:highlight w:val="none"/>
              </w:rPr>
            </w:pPr>
          </w:p>
        </w:tc>
      </w:tr>
    </w:tbl>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仿宋" w:hAnsi="仿宋" w:eastAsia="仿宋" w:cs="仿宋"/>
          <w:color w:val="auto"/>
          <w:sz w:val="44"/>
          <w:szCs w:val="44"/>
          <w:highlight w:val="none"/>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仿宋" w:hAnsi="仿宋" w:eastAsia="仿宋" w:cs="仿宋"/>
          <w:color w:val="auto"/>
          <w:sz w:val="44"/>
          <w:szCs w:val="44"/>
          <w:highlight w:val="none"/>
        </w:rPr>
        <w:sectPr>
          <w:headerReference r:id="rId5" w:type="default"/>
          <w:footerReference r:id="rId6" w:type="default"/>
          <w:pgSz w:w="11906" w:h="16838"/>
          <w:pgMar w:top="1440" w:right="1080" w:bottom="1440" w:left="1080" w:header="851" w:footer="992" w:gutter="0"/>
          <w:pgNumType w:fmt="decimal" w:start="1"/>
          <w:cols w:space="720" w:num="1"/>
          <w:docGrid w:type="linesAndChars" w:linePitch="312" w:charSpace="0"/>
        </w:sectPr>
      </w:pPr>
    </w:p>
    <w:p>
      <w:pPr>
        <w:rPr>
          <w:rFonts w:hint="eastAsia" w:ascii="仿宋" w:hAnsi="仿宋" w:eastAsia="仿宋" w:cs="仿宋"/>
          <w:b/>
          <w:bCs/>
          <w:color w:val="auto"/>
          <w:sz w:val="44"/>
          <w:szCs w:val="44"/>
          <w:highlight w:val="none"/>
          <w:lang w:val="zh-CN"/>
        </w:rPr>
      </w:pPr>
    </w:p>
    <w:sdt>
      <w:sdtPr>
        <w:rPr>
          <w:rFonts w:ascii="宋体" w:hAnsi="宋体" w:eastAsia="宋体" w:cs="Times New Roman"/>
          <w:b/>
          <w:bCs/>
          <w:color w:val="000000"/>
          <w:spacing w:val="0"/>
          <w:w w:val="100"/>
          <w:position w:val="0"/>
          <w:sz w:val="21"/>
          <w:szCs w:val="24"/>
          <w:highlight w:val="none"/>
          <w:shd w:val="clear" w:color="auto" w:fill="auto"/>
          <w:lang w:val="en-US" w:eastAsia="en-US" w:bidi="en-US"/>
        </w:rPr>
        <w:id w:val="147477967"/>
        <w15:color w:val="DBDBDB"/>
        <w:docPartObj>
          <w:docPartGallery w:val="Table of Contents"/>
          <w:docPartUnique/>
        </w:docPartObj>
      </w:sdtPr>
      <w:sdtEndPr>
        <w:rPr>
          <w:rFonts w:hint="eastAsia" w:ascii="仿宋" w:hAnsi="仿宋" w:eastAsia="仿宋" w:cs="仿宋"/>
          <w:b/>
          <w:bCs/>
          <w:color w:val="auto"/>
          <w:spacing w:val="0"/>
          <w:w w:val="100"/>
          <w:position w:val="0"/>
          <w:sz w:val="24"/>
          <w:szCs w:val="30"/>
          <w:highlight w:val="none"/>
          <w:shd w:val="clear" w:color="auto" w:fill="auto"/>
          <w:lang w:val="en-US" w:eastAsia="en-US" w:bidi="en-US"/>
        </w:rPr>
      </w:sdtEndPr>
      <w:sdtContent>
        <w:p>
          <w:pPr>
            <w:spacing w:before="0" w:beforeLines="0" w:after="0" w:afterLines="0" w:line="240" w:lineRule="auto"/>
            <w:ind w:left="0" w:leftChars="0" w:right="0" w:rightChars="0" w:firstLine="0" w:firstLineChars="0"/>
            <w:jc w:val="center"/>
            <w:rPr>
              <w:rFonts w:ascii="宋体" w:hAnsi="宋体" w:eastAsia="宋体"/>
              <w:b/>
              <w:bCs/>
              <w:sz w:val="40"/>
              <w:szCs w:val="48"/>
              <w:highlight w:val="none"/>
            </w:rPr>
          </w:pPr>
          <w:r>
            <w:rPr>
              <w:rFonts w:ascii="宋体" w:hAnsi="宋体" w:eastAsia="宋体"/>
              <w:b/>
              <w:bCs/>
              <w:sz w:val="40"/>
              <w:szCs w:val="48"/>
              <w:highlight w:val="none"/>
            </w:rPr>
            <w:t>目</w:t>
          </w:r>
          <w:r>
            <w:rPr>
              <w:rFonts w:hint="eastAsia" w:ascii="宋体" w:hAnsi="宋体" w:eastAsia="宋体"/>
              <w:b/>
              <w:bCs/>
              <w:sz w:val="40"/>
              <w:szCs w:val="48"/>
              <w:highlight w:val="none"/>
              <w:lang w:val="en-US" w:eastAsia="zh-CN"/>
            </w:rPr>
            <w:t xml:space="preserve">  </w:t>
          </w:r>
          <w:r>
            <w:rPr>
              <w:rFonts w:ascii="宋体" w:hAnsi="宋体" w:eastAsia="宋体"/>
              <w:b/>
              <w:bCs/>
              <w:sz w:val="40"/>
              <w:szCs w:val="48"/>
              <w:highlight w:val="none"/>
            </w:rPr>
            <w:t>录</w:t>
          </w:r>
        </w:p>
        <w:p>
          <w:pPr>
            <w:pStyle w:val="2"/>
            <w:rPr>
              <w:rFonts w:ascii="宋体" w:hAnsi="宋体" w:eastAsia="宋体"/>
              <w:sz w:val="40"/>
              <w:szCs w:val="48"/>
              <w:highlight w:val="none"/>
            </w:rPr>
          </w:pPr>
        </w:p>
        <w:p>
          <w:pPr>
            <w:pStyle w:val="2"/>
            <w:rPr>
              <w:rFonts w:ascii="宋体" w:hAnsi="宋体" w:eastAsia="宋体"/>
              <w:sz w:val="40"/>
              <w:szCs w:val="48"/>
              <w:highlight w:val="none"/>
            </w:rPr>
          </w:pPr>
        </w:p>
        <w:p>
          <w:pPr>
            <w:pStyle w:val="19"/>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textAlignment w:val="auto"/>
            <w:rPr>
              <w:sz w:val="24"/>
              <w:szCs w:val="24"/>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TOC \o "1-3" \h \u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_Toc28070 </w:instrText>
          </w:r>
          <w:r>
            <w:rPr>
              <w:rFonts w:hint="eastAsia" w:ascii="仿宋" w:hAnsi="仿宋" w:eastAsia="仿宋" w:cs="仿宋"/>
              <w:sz w:val="24"/>
              <w:szCs w:val="32"/>
              <w:highlight w:val="none"/>
            </w:rPr>
            <w:fldChar w:fldCharType="separate"/>
          </w:r>
          <w:r>
            <w:rPr>
              <w:rFonts w:hint="eastAsia" w:ascii="仿宋" w:hAnsi="仿宋" w:eastAsia="仿宋" w:cs="仿宋"/>
              <w:bCs/>
              <w:spacing w:val="0"/>
              <w:w w:val="100"/>
              <w:position w:val="0"/>
              <w:sz w:val="24"/>
              <w:szCs w:val="36"/>
              <w:highlight w:val="none"/>
            </w:rPr>
            <w:t>第一部分</w:t>
          </w:r>
          <w:r>
            <w:rPr>
              <w:rFonts w:hint="eastAsia" w:ascii="仿宋" w:hAnsi="仿宋" w:eastAsia="仿宋" w:cs="仿宋"/>
              <w:bCs/>
              <w:spacing w:val="0"/>
              <w:w w:val="100"/>
              <w:position w:val="0"/>
              <w:sz w:val="24"/>
              <w:szCs w:val="36"/>
              <w:highlight w:val="none"/>
              <w:lang w:val="en-US" w:eastAsia="zh-CN"/>
            </w:rPr>
            <w:t xml:space="preserve"> </w:t>
          </w:r>
          <w:r>
            <w:rPr>
              <w:rFonts w:hint="eastAsia" w:ascii="仿宋" w:hAnsi="仿宋" w:eastAsia="仿宋" w:cs="仿宋"/>
              <w:bCs/>
              <w:spacing w:val="0"/>
              <w:w w:val="100"/>
              <w:position w:val="0"/>
              <w:sz w:val="24"/>
              <w:szCs w:val="36"/>
              <w:highlight w:val="none"/>
              <w:lang w:eastAsia="zh-CN"/>
            </w:rPr>
            <w:t>招标公告</w:t>
          </w:r>
          <w:r>
            <w:rPr>
              <w:sz w:val="24"/>
              <w:szCs w:val="24"/>
              <w:highlight w:val="none"/>
            </w:rPr>
            <w:tab/>
          </w:r>
          <w:r>
            <w:rPr>
              <w:sz w:val="24"/>
              <w:szCs w:val="24"/>
              <w:highlight w:val="none"/>
            </w:rPr>
            <w:fldChar w:fldCharType="begin"/>
          </w:r>
          <w:r>
            <w:rPr>
              <w:sz w:val="24"/>
              <w:szCs w:val="24"/>
              <w:highlight w:val="none"/>
            </w:rPr>
            <w:instrText xml:space="preserve"> PAGEREF _Toc28070 \h </w:instrText>
          </w:r>
          <w:r>
            <w:rPr>
              <w:sz w:val="24"/>
              <w:szCs w:val="24"/>
              <w:highlight w:val="none"/>
            </w:rPr>
            <w:fldChar w:fldCharType="separate"/>
          </w:r>
          <w:r>
            <w:rPr>
              <w:sz w:val="24"/>
              <w:szCs w:val="24"/>
              <w:highlight w:val="none"/>
            </w:rPr>
            <w:t>1</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9"/>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textAlignment w:val="auto"/>
            <w:rPr>
              <w:sz w:val="24"/>
              <w:szCs w:val="24"/>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_Toc29207 </w:instrText>
          </w:r>
          <w:r>
            <w:rPr>
              <w:rFonts w:hint="eastAsia" w:ascii="仿宋" w:hAnsi="仿宋" w:eastAsia="仿宋" w:cs="仿宋"/>
              <w:sz w:val="24"/>
              <w:szCs w:val="32"/>
              <w:highlight w:val="none"/>
            </w:rPr>
            <w:fldChar w:fldCharType="separate"/>
          </w:r>
          <w:r>
            <w:rPr>
              <w:rFonts w:hint="eastAsia" w:ascii="仿宋" w:hAnsi="仿宋" w:eastAsia="仿宋" w:cs="仿宋"/>
              <w:bCs/>
              <w:spacing w:val="0"/>
              <w:w w:val="100"/>
              <w:position w:val="0"/>
              <w:sz w:val="24"/>
              <w:szCs w:val="36"/>
              <w:highlight w:val="none"/>
            </w:rPr>
            <w:t>第二部分</w:t>
          </w:r>
          <w:r>
            <w:rPr>
              <w:rFonts w:hint="eastAsia" w:ascii="仿宋" w:hAnsi="仿宋" w:eastAsia="仿宋" w:cs="仿宋"/>
              <w:bCs/>
              <w:spacing w:val="0"/>
              <w:w w:val="100"/>
              <w:position w:val="0"/>
              <w:sz w:val="24"/>
              <w:szCs w:val="36"/>
              <w:highlight w:val="none"/>
              <w:lang w:val="en-US" w:eastAsia="zh-CN"/>
            </w:rPr>
            <w:t xml:space="preserve"> </w:t>
          </w:r>
          <w:r>
            <w:rPr>
              <w:rFonts w:hint="eastAsia" w:ascii="仿宋" w:hAnsi="仿宋" w:eastAsia="仿宋" w:cs="仿宋"/>
              <w:bCs/>
              <w:spacing w:val="0"/>
              <w:w w:val="100"/>
              <w:position w:val="0"/>
              <w:sz w:val="24"/>
              <w:szCs w:val="36"/>
              <w:highlight w:val="none"/>
            </w:rPr>
            <w:t>供应商须知</w:t>
          </w:r>
          <w:r>
            <w:rPr>
              <w:sz w:val="24"/>
              <w:szCs w:val="24"/>
              <w:highlight w:val="none"/>
            </w:rPr>
            <w:tab/>
          </w:r>
          <w:r>
            <w:rPr>
              <w:sz w:val="24"/>
              <w:szCs w:val="24"/>
              <w:highlight w:val="none"/>
            </w:rPr>
            <w:fldChar w:fldCharType="begin"/>
          </w:r>
          <w:r>
            <w:rPr>
              <w:sz w:val="24"/>
              <w:szCs w:val="24"/>
              <w:highlight w:val="none"/>
            </w:rPr>
            <w:instrText xml:space="preserve"> PAGEREF _Toc29207 \h </w:instrText>
          </w:r>
          <w:r>
            <w:rPr>
              <w:sz w:val="24"/>
              <w:szCs w:val="24"/>
              <w:highlight w:val="none"/>
            </w:rPr>
            <w:fldChar w:fldCharType="separate"/>
          </w:r>
          <w:r>
            <w:rPr>
              <w:sz w:val="24"/>
              <w:szCs w:val="24"/>
              <w:highlight w:val="none"/>
            </w:rPr>
            <w:t>6</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7"/>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ind w:firstLine="480" w:firstLineChars="200"/>
            <w:textAlignment w:val="auto"/>
            <w:rPr>
              <w:sz w:val="24"/>
              <w:szCs w:val="24"/>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_Toc6150 </w:instrText>
          </w:r>
          <w:r>
            <w:rPr>
              <w:rFonts w:hint="eastAsia" w:ascii="仿宋" w:hAnsi="仿宋" w:eastAsia="仿宋" w:cs="仿宋"/>
              <w:sz w:val="24"/>
              <w:szCs w:val="32"/>
              <w:highlight w:val="none"/>
            </w:rPr>
            <w:fldChar w:fldCharType="separate"/>
          </w:r>
          <w:r>
            <w:rPr>
              <w:rFonts w:hint="eastAsia" w:ascii="仿宋" w:hAnsi="仿宋" w:eastAsia="仿宋" w:cs="仿宋"/>
              <w:bCs/>
              <w:sz w:val="24"/>
              <w:szCs w:val="28"/>
              <w:highlight w:val="none"/>
            </w:rPr>
            <w:t>第三</w:t>
          </w:r>
          <w:r>
            <w:rPr>
              <w:rFonts w:hint="eastAsia" w:ascii="仿宋" w:hAnsi="仿宋" w:eastAsia="仿宋" w:cs="仿宋"/>
              <w:bCs/>
              <w:sz w:val="24"/>
              <w:szCs w:val="28"/>
              <w:highlight w:val="none"/>
              <w:lang w:val="en-US" w:eastAsia="zh-CN"/>
            </w:rPr>
            <w:t>部分</w:t>
          </w:r>
          <w:r>
            <w:rPr>
              <w:rFonts w:hint="eastAsia" w:ascii="仿宋" w:hAnsi="仿宋" w:eastAsia="仿宋" w:cs="仿宋"/>
              <w:bCs/>
              <w:sz w:val="24"/>
              <w:szCs w:val="28"/>
              <w:highlight w:val="none"/>
            </w:rPr>
            <w:t xml:space="preserve">  评标办法</w:t>
          </w:r>
          <w:r>
            <w:rPr>
              <w:sz w:val="24"/>
              <w:szCs w:val="24"/>
              <w:highlight w:val="none"/>
            </w:rPr>
            <w:tab/>
          </w:r>
          <w:r>
            <w:rPr>
              <w:sz w:val="24"/>
              <w:szCs w:val="24"/>
              <w:highlight w:val="none"/>
            </w:rPr>
            <w:fldChar w:fldCharType="begin"/>
          </w:r>
          <w:r>
            <w:rPr>
              <w:sz w:val="24"/>
              <w:szCs w:val="24"/>
              <w:highlight w:val="none"/>
            </w:rPr>
            <w:instrText xml:space="preserve"> PAGEREF _Toc6150 \h </w:instrText>
          </w:r>
          <w:r>
            <w:rPr>
              <w:sz w:val="24"/>
              <w:szCs w:val="24"/>
              <w:highlight w:val="none"/>
            </w:rPr>
            <w:fldChar w:fldCharType="separate"/>
          </w:r>
          <w:r>
            <w:rPr>
              <w:sz w:val="24"/>
              <w:szCs w:val="24"/>
              <w:highlight w:val="none"/>
            </w:rPr>
            <w:t>40</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7"/>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ind w:firstLine="480" w:firstLineChars="200"/>
            <w:textAlignment w:val="auto"/>
            <w:rPr>
              <w:sz w:val="24"/>
              <w:szCs w:val="24"/>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_Toc29986 </w:instrText>
          </w:r>
          <w:r>
            <w:rPr>
              <w:rFonts w:hint="eastAsia" w:ascii="仿宋" w:hAnsi="仿宋" w:eastAsia="仿宋" w:cs="仿宋"/>
              <w:sz w:val="24"/>
              <w:szCs w:val="32"/>
              <w:highlight w:val="none"/>
            </w:rPr>
            <w:fldChar w:fldCharType="separate"/>
          </w:r>
          <w:r>
            <w:rPr>
              <w:rFonts w:hint="eastAsia" w:ascii="仿宋" w:hAnsi="仿宋" w:eastAsia="仿宋" w:cs="仿宋"/>
              <w:sz w:val="24"/>
              <w:szCs w:val="28"/>
              <w:highlight w:val="none"/>
              <w:lang w:val="en-US" w:eastAsia="zh-CN"/>
            </w:rPr>
            <w:t xml:space="preserve">第四部分 </w:t>
          </w:r>
          <w:r>
            <w:rPr>
              <w:rFonts w:hint="eastAsia" w:ascii="仿宋" w:hAnsi="仿宋" w:eastAsia="仿宋" w:cs="仿宋"/>
              <w:sz w:val="24"/>
              <w:szCs w:val="28"/>
              <w:highlight w:val="none"/>
            </w:rPr>
            <w:t xml:space="preserve"> 技术规格、数量及质量要求</w:t>
          </w:r>
          <w:r>
            <w:rPr>
              <w:sz w:val="24"/>
              <w:szCs w:val="24"/>
              <w:highlight w:val="none"/>
            </w:rPr>
            <w:tab/>
          </w:r>
          <w:r>
            <w:rPr>
              <w:sz w:val="24"/>
              <w:szCs w:val="24"/>
              <w:highlight w:val="none"/>
            </w:rPr>
            <w:fldChar w:fldCharType="begin"/>
          </w:r>
          <w:r>
            <w:rPr>
              <w:sz w:val="24"/>
              <w:szCs w:val="24"/>
              <w:highlight w:val="none"/>
            </w:rPr>
            <w:instrText xml:space="preserve"> PAGEREF _Toc29986 \h </w:instrText>
          </w:r>
          <w:r>
            <w:rPr>
              <w:sz w:val="24"/>
              <w:szCs w:val="24"/>
              <w:highlight w:val="none"/>
            </w:rPr>
            <w:fldChar w:fldCharType="separate"/>
          </w:r>
          <w:r>
            <w:rPr>
              <w:sz w:val="24"/>
              <w:szCs w:val="24"/>
              <w:highlight w:val="none"/>
            </w:rPr>
            <w:t>48</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7"/>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ind w:firstLine="480" w:firstLineChars="200"/>
            <w:textAlignment w:val="auto"/>
            <w:rPr>
              <w:sz w:val="24"/>
              <w:szCs w:val="24"/>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_Toc30467 </w:instrText>
          </w:r>
          <w:r>
            <w:rPr>
              <w:rFonts w:hint="eastAsia" w:ascii="仿宋" w:hAnsi="仿宋" w:eastAsia="仿宋" w:cs="仿宋"/>
              <w:sz w:val="24"/>
              <w:szCs w:val="32"/>
              <w:highlight w:val="none"/>
            </w:rPr>
            <w:fldChar w:fldCharType="separate"/>
          </w:r>
          <w:r>
            <w:rPr>
              <w:rFonts w:hint="eastAsia" w:ascii="仿宋" w:hAnsi="仿宋" w:eastAsia="仿宋" w:cs="仿宋"/>
              <w:bCs/>
              <w:sz w:val="24"/>
              <w:szCs w:val="36"/>
              <w:highlight w:val="none"/>
              <w:lang w:eastAsia="zh-CN"/>
            </w:rPr>
            <w:t>第五</w:t>
          </w:r>
          <w:r>
            <w:rPr>
              <w:rFonts w:hint="eastAsia" w:ascii="仿宋" w:hAnsi="仿宋" w:eastAsia="仿宋" w:cs="仿宋"/>
              <w:bCs/>
              <w:sz w:val="24"/>
              <w:szCs w:val="36"/>
              <w:highlight w:val="none"/>
              <w:lang w:val="en-US" w:eastAsia="zh-CN"/>
            </w:rPr>
            <w:t xml:space="preserve">部分 </w:t>
          </w:r>
          <w:r>
            <w:rPr>
              <w:rFonts w:hint="eastAsia" w:ascii="仿宋" w:hAnsi="仿宋" w:eastAsia="仿宋" w:cs="仿宋"/>
              <w:bCs/>
              <w:sz w:val="24"/>
              <w:szCs w:val="36"/>
              <w:highlight w:val="none"/>
            </w:rPr>
            <w:t>合同条款及格式</w:t>
          </w:r>
          <w:r>
            <w:rPr>
              <w:sz w:val="24"/>
              <w:szCs w:val="24"/>
              <w:highlight w:val="none"/>
            </w:rPr>
            <w:tab/>
          </w:r>
          <w:r>
            <w:rPr>
              <w:sz w:val="24"/>
              <w:szCs w:val="24"/>
              <w:highlight w:val="none"/>
            </w:rPr>
            <w:fldChar w:fldCharType="begin"/>
          </w:r>
          <w:r>
            <w:rPr>
              <w:sz w:val="24"/>
              <w:szCs w:val="24"/>
              <w:highlight w:val="none"/>
            </w:rPr>
            <w:instrText xml:space="preserve"> PAGEREF _Toc30467 \h </w:instrText>
          </w:r>
          <w:r>
            <w:rPr>
              <w:sz w:val="24"/>
              <w:szCs w:val="24"/>
              <w:highlight w:val="none"/>
            </w:rPr>
            <w:fldChar w:fldCharType="separate"/>
          </w:r>
          <w:r>
            <w:rPr>
              <w:sz w:val="24"/>
              <w:szCs w:val="24"/>
              <w:highlight w:val="none"/>
            </w:rPr>
            <w:t>66</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9"/>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textAlignment w:val="auto"/>
            <w:rPr>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_Toc21488 </w:instrText>
          </w:r>
          <w:r>
            <w:rPr>
              <w:rFonts w:hint="eastAsia" w:ascii="仿宋" w:hAnsi="仿宋" w:eastAsia="仿宋" w:cs="仿宋"/>
              <w:sz w:val="24"/>
              <w:szCs w:val="32"/>
              <w:highlight w:val="none"/>
            </w:rPr>
            <w:fldChar w:fldCharType="separate"/>
          </w:r>
          <w:r>
            <w:rPr>
              <w:rFonts w:hint="eastAsia" w:ascii="仿宋" w:hAnsi="仿宋" w:eastAsia="仿宋" w:cs="仿宋"/>
              <w:bCs/>
              <w:spacing w:val="0"/>
              <w:w w:val="100"/>
              <w:position w:val="0"/>
              <w:sz w:val="24"/>
              <w:szCs w:val="36"/>
              <w:highlight w:val="none"/>
            </w:rPr>
            <w:t>第</w:t>
          </w:r>
          <w:r>
            <w:rPr>
              <w:rFonts w:hint="eastAsia" w:ascii="仿宋" w:hAnsi="仿宋" w:eastAsia="仿宋" w:cs="仿宋"/>
              <w:bCs/>
              <w:spacing w:val="0"/>
              <w:w w:val="100"/>
              <w:position w:val="0"/>
              <w:sz w:val="24"/>
              <w:szCs w:val="36"/>
              <w:highlight w:val="none"/>
              <w:lang w:eastAsia="zh-CN"/>
            </w:rPr>
            <w:t>六</w:t>
          </w:r>
          <w:r>
            <w:rPr>
              <w:rFonts w:hint="eastAsia" w:ascii="仿宋" w:hAnsi="仿宋" w:eastAsia="仿宋" w:cs="仿宋"/>
              <w:bCs/>
              <w:spacing w:val="0"/>
              <w:w w:val="100"/>
              <w:position w:val="0"/>
              <w:sz w:val="24"/>
              <w:szCs w:val="36"/>
              <w:highlight w:val="none"/>
            </w:rPr>
            <w:t>部分</w:t>
          </w:r>
          <w:r>
            <w:rPr>
              <w:rFonts w:hint="eastAsia" w:ascii="仿宋" w:hAnsi="仿宋" w:eastAsia="仿宋" w:cs="仿宋"/>
              <w:bCs/>
              <w:spacing w:val="0"/>
              <w:w w:val="100"/>
              <w:position w:val="0"/>
              <w:sz w:val="24"/>
              <w:szCs w:val="36"/>
              <w:highlight w:val="none"/>
              <w:lang w:val="en-US" w:eastAsia="zh-CN"/>
            </w:rPr>
            <w:t xml:space="preserve">  </w:t>
          </w:r>
          <w:r>
            <w:rPr>
              <w:rFonts w:hint="eastAsia" w:ascii="仿宋" w:hAnsi="仿宋" w:eastAsia="仿宋" w:cs="仿宋"/>
              <w:bCs/>
              <w:spacing w:val="0"/>
              <w:w w:val="100"/>
              <w:position w:val="0"/>
              <w:sz w:val="24"/>
              <w:szCs w:val="36"/>
              <w:highlight w:val="none"/>
            </w:rPr>
            <w:t>投标文件格式</w:t>
          </w:r>
          <w:r>
            <w:rPr>
              <w:sz w:val="24"/>
              <w:szCs w:val="24"/>
              <w:highlight w:val="none"/>
            </w:rPr>
            <w:tab/>
          </w:r>
          <w:r>
            <w:rPr>
              <w:sz w:val="24"/>
              <w:szCs w:val="24"/>
              <w:highlight w:val="none"/>
            </w:rPr>
            <w:fldChar w:fldCharType="begin"/>
          </w:r>
          <w:r>
            <w:rPr>
              <w:sz w:val="24"/>
              <w:szCs w:val="24"/>
              <w:highlight w:val="none"/>
            </w:rPr>
            <w:instrText xml:space="preserve"> PAGEREF _Toc21488 \h </w:instrText>
          </w:r>
          <w:r>
            <w:rPr>
              <w:sz w:val="24"/>
              <w:szCs w:val="24"/>
              <w:highlight w:val="none"/>
            </w:rPr>
            <w:fldChar w:fldCharType="separate"/>
          </w:r>
          <w:r>
            <w:rPr>
              <w:sz w:val="24"/>
              <w:szCs w:val="24"/>
              <w:highlight w:val="none"/>
            </w:rPr>
            <w:t>73</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9"/>
            <w:tabs>
              <w:tab w:val="right" w:leader="hyphen" w:pos="9746"/>
            </w:tabs>
            <w:rPr>
              <w:highlight w:val="none"/>
            </w:rPr>
          </w:pPr>
        </w:p>
        <w:p>
          <w:pPr>
            <w:keepNext w:val="0"/>
            <w:keepLines w:val="0"/>
            <w:pageBreakBefore w:val="0"/>
            <w:widowControl/>
            <w:kinsoku/>
            <w:wordWrap/>
            <w:overflowPunct/>
            <w:topLinePunct w:val="0"/>
            <w:autoSpaceDE/>
            <w:autoSpaceDN/>
            <w:bidi w:val="0"/>
            <w:adjustRightInd/>
            <w:snapToGrid/>
            <w:spacing w:line="480" w:lineRule="auto"/>
            <w:jc w:val="left"/>
            <w:textAlignment w:val="auto"/>
            <w:outlineLvl w:val="9"/>
            <w:rPr>
              <w:rFonts w:hint="eastAsia" w:ascii="仿宋" w:hAnsi="仿宋" w:eastAsia="仿宋" w:cs="仿宋"/>
              <w:color w:val="auto"/>
              <w:sz w:val="30"/>
              <w:szCs w:val="30"/>
              <w:highlight w:val="none"/>
            </w:rPr>
          </w:pPr>
          <w:r>
            <w:rPr>
              <w:rFonts w:hint="eastAsia" w:ascii="仿宋" w:hAnsi="仿宋" w:eastAsia="仿宋" w:cs="仿宋"/>
              <w:color w:val="auto"/>
              <w:szCs w:val="32"/>
              <w:highlight w:val="none"/>
            </w:rPr>
            <w:fldChar w:fldCharType="end"/>
          </w:r>
        </w:p>
      </w:sdtContent>
    </w:sdt>
    <w:p>
      <w:pPr>
        <w:pStyle w:val="9"/>
        <w:numPr>
          <w:ilvl w:val="0"/>
          <w:numId w:val="0"/>
        </w:numPr>
        <w:ind w:leftChars="0" w:right="0" w:rightChars="0"/>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lang w:val="en-US" w:eastAsia="zh-CN"/>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pStyle w:val="34"/>
        <w:keepNext/>
        <w:keepLines/>
        <w:widowControl w:val="0"/>
        <w:shd w:val="clear" w:color="auto" w:fill="auto"/>
        <w:bidi w:val="0"/>
        <w:spacing w:before="120" w:after="300" w:line="240" w:lineRule="auto"/>
        <w:ind w:left="0" w:right="0" w:firstLine="0"/>
        <w:jc w:val="center"/>
        <w:outlineLvl w:val="9"/>
        <w:rPr>
          <w:rFonts w:hint="eastAsia" w:ascii="仿宋" w:hAnsi="仿宋" w:eastAsia="仿宋" w:cs="仿宋"/>
          <w:b/>
          <w:bCs/>
          <w:color w:val="auto"/>
          <w:spacing w:val="0"/>
          <w:w w:val="100"/>
          <w:position w:val="0"/>
          <w:sz w:val="36"/>
          <w:szCs w:val="36"/>
          <w:highlight w:val="none"/>
        </w:rPr>
        <w:sectPr>
          <w:footerReference r:id="rId7" w:type="default"/>
          <w:pgSz w:w="11906" w:h="16838"/>
          <w:pgMar w:top="1440" w:right="1080" w:bottom="1440" w:left="1080" w:header="851" w:footer="992" w:gutter="0"/>
          <w:pgNumType w:fmt="decimal" w:start="1"/>
          <w:cols w:space="720" w:num="1"/>
          <w:docGrid w:type="linesAndChars" w:linePitch="312" w:charSpace="0"/>
        </w:sectPr>
      </w:pPr>
    </w:p>
    <w:p>
      <w:pPr>
        <w:pStyle w:val="34"/>
        <w:keepNext/>
        <w:keepLines/>
        <w:widowControl w:val="0"/>
        <w:shd w:val="clear" w:color="auto" w:fill="auto"/>
        <w:bidi w:val="0"/>
        <w:spacing w:before="120" w:after="300" w:line="240" w:lineRule="auto"/>
        <w:ind w:left="0" w:right="0" w:firstLine="0"/>
        <w:jc w:val="center"/>
        <w:outlineLvl w:val="0"/>
        <w:rPr>
          <w:rFonts w:hint="eastAsia" w:ascii="仿宋" w:hAnsi="仿宋" w:eastAsia="仿宋" w:cs="仿宋"/>
          <w:b/>
          <w:bCs/>
          <w:color w:val="auto"/>
          <w:sz w:val="36"/>
          <w:szCs w:val="36"/>
          <w:highlight w:val="none"/>
          <w:lang w:eastAsia="zh-CN"/>
        </w:rPr>
      </w:pPr>
      <w:bookmarkStart w:id="0" w:name="_Toc12194"/>
      <w:bookmarkStart w:id="1" w:name="_Toc10738"/>
      <w:bookmarkStart w:id="2" w:name="_Toc28070"/>
      <w:r>
        <w:rPr>
          <w:rFonts w:hint="eastAsia" w:ascii="仿宋" w:hAnsi="仿宋" w:eastAsia="仿宋" w:cs="仿宋"/>
          <w:b/>
          <w:bCs/>
          <w:color w:val="auto"/>
          <w:spacing w:val="0"/>
          <w:w w:val="100"/>
          <w:position w:val="0"/>
          <w:sz w:val="36"/>
          <w:szCs w:val="36"/>
          <w:highlight w:val="none"/>
        </w:rPr>
        <w:t>第一部分</w:t>
      </w:r>
      <w:r>
        <w:rPr>
          <w:rFonts w:hint="eastAsia" w:ascii="仿宋" w:hAnsi="仿宋" w:eastAsia="仿宋" w:cs="仿宋"/>
          <w:b/>
          <w:bCs/>
          <w:color w:val="auto"/>
          <w:spacing w:val="0"/>
          <w:w w:val="100"/>
          <w:position w:val="0"/>
          <w:sz w:val="36"/>
          <w:szCs w:val="36"/>
          <w:highlight w:val="none"/>
          <w:lang w:val="en-US" w:eastAsia="zh-CN"/>
        </w:rPr>
        <w:t xml:space="preserve"> </w:t>
      </w:r>
      <w:r>
        <w:rPr>
          <w:rFonts w:hint="eastAsia" w:ascii="仿宋" w:hAnsi="仿宋" w:eastAsia="仿宋" w:cs="仿宋"/>
          <w:b/>
          <w:bCs/>
          <w:color w:val="auto"/>
          <w:spacing w:val="0"/>
          <w:w w:val="100"/>
          <w:position w:val="0"/>
          <w:sz w:val="36"/>
          <w:szCs w:val="36"/>
          <w:highlight w:val="none"/>
          <w:lang w:eastAsia="zh-CN"/>
        </w:rPr>
        <w:t>招标公告</w:t>
      </w:r>
      <w:bookmarkEnd w:id="0"/>
      <w:bookmarkEnd w:id="1"/>
      <w:bookmarkEnd w:id="2"/>
    </w:p>
    <w:p>
      <w:pPr>
        <w:keepNext w:val="0"/>
        <w:keepLines w:val="0"/>
        <w:pageBreakBefore w:val="0"/>
        <w:shd w:val="clear" w:color="auto" w:fill="auto"/>
        <w:kinsoku/>
        <w:wordWrap/>
        <w:overflowPunct/>
        <w:topLinePunct w:val="0"/>
        <w:autoSpaceDE/>
        <w:autoSpaceDN/>
        <w:bidi w:val="0"/>
        <w:adjustRightInd w:val="0"/>
        <w:spacing w:line="120" w:lineRule="auto"/>
        <w:jc w:val="center"/>
        <w:rPr>
          <w:rFonts w:hint="eastAsia" w:ascii="仿宋" w:hAnsi="仿宋" w:eastAsia="仿宋" w:cs="仿宋"/>
          <w:b/>
          <w:color w:val="000000"/>
          <w:sz w:val="28"/>
          <w:szCs w:val="28"/>
          <w:highlight w:val="none"/>
          <w:shd w:val="clear" w:color="auto" w:fill="FFFFFF"/>
        </w:rPr>
      </w:pPr>
      <w:bookmarkStart w:id="3" w:name="_Toc28359001"/>
      <w:bookmarkStart w:id="4" w:name="_Toc35393789"/>
      <w:r>
        <w:rPr>
          <w:rFonts w:hint="eastAsia" w:ascii="仿宋" w:hAnsi="仿宋" w:eastAsia="仿宋" w:cs="仿宋"/>
          <w:b/>
          <w:color w:val="000000"/>
          <w:sz w:val="28"/>
          <w:szCs w:val="28"/>
          <w:highlight w:val="none"/>
          <w:shd w:val="clear" w:color="auto" w:fill="FFFFFF"/>
          <w:lang w:val="en-US" w:eastAsia="zh-CN"/>
        </w:rPr>
        <w:t>阿图什市街道办事处社区卫生服务中心项目设备采购项目</w:t>
      </w:r>
      <w:r>
        <w:rPr>
          <w:rFonts w:hint="eastAsia" w:ascii="仿宋" w:hAnsi="仿宋" w:eastAsia="仿宋" w:cs="仿宋"/>
          <w:b/>
          <w:color w:val="000000"/>
          <w:sz w:val="28"/>
          <w:szCs w:val="28"/>
          <w:highlight w:val="none"/>
          <w:shd w:val="clear" w:color="auto" w:fill="FFFFFF"/>
        </w:rPr>
        <w:t>公开招标公告</w:t>
      </w:r>
      <w:bookmarkEnd w:id="3"/>
      <w:bookmarkEnd w:id="4"/>
    </w:p>
    <w:p>
      <w:pPr>
        <w:pStyle w:val="31"/>
        <w:keepNext w:val="0"/>
        <w:keepLines w:val="0"/>
        <w:pageBreakBefore w:val="0"/>
        <w:shd w:val="clear" w:color="auto" w:fill="auto"/>
        <w:kinsoku/>
        <w:wordWrap/>
        <w:overflowPunct/>
        <w:topLinePunct w:val="0"/>
        <w:autoSpaceDE/>
        <w:autoSpaceDN/>
        <w:bidi w:val="0"/>
        <w:spacing w:line="120" w:lineRule="auto"/>
        <w:rPr>
          <w:rFonts w:hint="eastAsia" w:ascii="宋体" w:hAnsi="宋体" w:eastAsia="宋体" w:cs="宋体"/>
          <w:color w:val="000000"/>
          <w:sz w:val="18"/>
          <w:szCs w:val="18"/>
          <w:highlight w:val="none"/>
        </w:rPr>
      </w:pPr>
    </w:p>
    <w:p>
      <w:pPr>
        <w:keepNext w:val="0"/>
        <w:keepLines w:val="0"/>
        <w:pageBreakBefore w:val="0"/>
        <w:widowControl w:val="0"/>
        <w:pBdr>
          <w:top w:val="single" w:color="auto" w:sz="4" w:space="1"/>
          <w:left w:val="single" w:color="auto" w:sz="4" w:space="4"/>
          <w:bottom w:val="single" w:color="auto" w:sz="4" w:space="1"/>
          <w:right w:val="single" w:color="auto" w:sz="4" w:space="4"/>
        </w:pBdr>
        <w:shd w:val="clear" w:color="auto" w:fill="auto"/>
        <w:kinsoku/>
        <w:wordWrap/>
        <w:overflowPunct/>
        <w:topLinePunct w:val="0"/>
        <w:autoSpaceDE/>
        <w:autoSpaceDN/>
        <w:bidi w:val="0"/>
        <w:adjustRightInd/>
        <w:snapToGrid/>
        <w:spacing w:line="120" w:lineRule="auto"/>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rPr>
        <w:t>项目概况</w:t>
      </w:r>
    </w:p>
    <w:p>
      <w:pPr>
        <w:keepNext w:val="0"/>
        <w:keepLines w:val="0"/>
        <w:pageBreakBefore w:val="0"/>
        <w:widowControl w:val="0"/>
        <w:pBdr>
          <w:top w:val="single" w:color="auto" w:sz="4" w:space="1"/>
          <w:left w:val="single" w:color="auto" w:sz="4" w:space="4"/>
          <w:bottom w:val="single" w:color="auto" w:sz="4" w:space="1"/>
          <w:right w:val="single" w:color="auto" w:sz="4" w:space="4"/>
        </w:pBdr>
        <w:shd w:val="clear" w:color="auto" w:fill="auto"/>
        <w:kinsoku/>
        <w:wordWrap/>
        <w:overflowPunct/>
        <w:topLinePunct w:val="0"/>
        <w:autoSpaceDE/>
        <w:autoSpaceDN/>
        <w:bidi w:val="0"/>
        <w:adjustRightInd/>
        <w:snapToGrid/>
        <w:spacing w:line="120" w:lineRule="auto"/>
        <w:ind w:firstLine="480" w:firstLineChars="200"/>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阿图什市街道办事处社区卫生服务中心项目设备采购项目招标项目的潜在投标人应在供应商登陆政采云平台http://www.zcygov.cn/，在线申请获取招标文件（登录政府采购云平台 → 项目采购 → 获取招标文件→申请，审核通过后可下载招标文件，如有操作性问题，可与政采云在线客服进行咨询，咨询电话：400-881-7190）。获取招标文件，并于2022年10月31日 10:30（北京时间）前递交投标文件。</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一、项目基本情况</w:t>
      </w:r>
    </w:p>
    <w:p>
      <w:pPr>
        <w:shd w:val="clear" w:color="auto" w:fill="auto"/>
        <w:spacing w:line="360" w:lineRule="auto"/>
        <w:jc w:val="lef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项目编号：ATSSJYZX-2022082</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项目名称：阿图什市街道办事处社区卫生服务中心项目设备采购项目</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采购方式：公开招标</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预算金额（元）：19587800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最高限价（元）：5567400,4686300，4624100，4710000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采购需求：</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标项一:</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标项名称:阿图什市街道办事处社区卫生服务中心项目设备采购项目（1包）</w:t>
      </w:r>
    </w:p>
    <w:p>
      <w:pPr>
        <w:pStyle w:val="2"/>
        <w:rPr>
          <w:rFonts w:hint="default" w:ascii="仿宋" w:hAnsi="仿宋" w:eastAsia="仿宋" w:cs="仿宋"/>
          <w:color w:val="auto"/>
          <w:sz w:val="24"/>
          <w:szCs w:val="24"/>
          <w:highlight w:val="none"/>
          <w:lang w:val="en-US" w:eastAsia="zh-CN"/>
        </w:rPr>
      </w:pPr>
      <w:r>
        <w:rPr>
          <w:rFonts w:ascii="仿宋" w:hAnsi="仿宋" w:eastAsia="仿宋" w:cs="仿宋"/>
          <w:i w:val="0"/>
          <w:iCs w:val="0"/>
          <w:caps w:val="0"/>
          <w:color w:val="000000"/>
          <w:spacing w:val="0"/>
          <w:sz w:val="24"/>
          <w:szCs w:val="24"/>
        </w:rPr>
        <w:t> 数量:</w:t>
      </w:r>
      <w:r>
        <w:rPr>
          <w:rFonts w:hint="eastAsia" w:ascii="仿宋" w:hAnsi="仿宋" w:eastAsia="仿宋" w:cs="仿宋"/>
          <w:i w:val="0"/>
          <w:iCs w:val="0"/>
          <w:caps w:val="0"/>
          <w:color w:val="000000"/>
          <w:spacing w:val="0"/>
          <w:sz w:val="24"/>
          <w:szCs w:val="24"/>
        </w:rPr>
        <w:t>1</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预算金额（元）:5567400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简要规格描述或项目基本概况介绍、用途：数字DR机、DR辐射检测仪、彩色超声波检测仪、离心机、负压吸痰器、空气消毒机、除颤仪、心电检测仪、1000L冷藏柜、红外线体温测量仪、治疗床、口腔综合治疗椅(含正负压器)、五官科检测套装、高压灭菌消毒设施、十二导联心电图、外科套装急救箱、内科套装急救箱、白带检测仪；具体详见参数附件或招标文件。</w:t>
      </w:r>
    </w:p>
    <w:p>
      <w:pPr>
        <w:pStyle w:val="2"/>
        <w:rPr>
          <w:rFonts w:hint="eastAsia"/>
          <w:highlight w:val="none"/>
          <w:lang w:val="en-US" w:eastAsia="zh-CN"/>
        </w:rPr>
      </w:pPr>
      <w:r>
        <w:rPr>
          <w:rFonts w:hint="eastAsia" w:ascii="仿宋" w:hAnsi="仿宋" w:eastAsia="仿宋" w:cs="仿宋"/>
          <w:highlight w:val="none"/>
        </w:rPr>
        <w:t> 备注：</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标项二:</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标项名称:阿图什市街道办事处社区卫生服务中心项目设备采购项目（2包）</w:t>
      </w:r>
    </w:p>
    <w:p>
      <w:pPr>
        <w:pStyle w:val="2"/>
        <w:rPr>
          <w:rFonts w:hint="eastAsia"/>
          <w:lang w:val="en-US" w:eastAsia="zh-CN"/>
        </w:rPr>
      </w:pPr>
      <w:r>
        <w:rPr>
          <w:rFonts w:ascii="仿宋" w:hAnsi="仿宋" w:eastAsia="仿宋" w:cs="仿宋"/>
          <w:i w:val="0"/>
          <w:iCs w:val="0"/>
          <w:caps w:val="0"/>
          <w:color w:val="000000"/>
          <w:spacing w:val="0"/>
          <w:sz w:val="24"/>
          <w:szCs w:val="24"/>
        </w:rPr>
        <w:t> 数量:</w:t>
      </w:r>
      <w:r>
        <w:rPr>
          <w:rFonts w:hint="eastAsia" w:ascii="仿宋" w:hAnsi="仿宋" w:eastAsia="仿宋" w:cs="仿宋"/>
          <w:i w:val="0"/>
          <w:iCs w:val="0"/>
          <w:caps w:val="0"/>
          <w:color w:val="000000"/>
          <w:spacing w:val="0"/>
          <w:sz w:val="24"/>
          <w:szCs w:val="24"/>
        </w:rPr>
        <w:t>1</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预算金额（元）: 4686300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简要规格描述或项目基本概况介绍、用途：彩色超声波检测仪、五分类血常规仪、尿液分析仪、血红蛋白机、读卡机、操作台、扫描枪、胎心监测仪、制氧机；具体详见参数附件或招标文件。</w:t>
      </w:r>
    </w:p>
    <w:p>
      <w:pPr>
        <w:pStyle w:val="2"/>
        <w:rPr>
          <w:rFonts w:hint="eastAsia"/>
          <w:highlight w:val="none"/>
          <w:lang w:val="en-US" w:eastAsia="zh-CN"/>
        </w:rPr>
      </w:pPr>
      <w:r>
        <w:rPr>
          <w:rFonts w:hint="eastAsia" w:ascii="仿宋" w:hAnsi="仿宋" w:eastAsia="仿宋" w:cs="仿宋"/>
          <w:highlight w:val="none"/>
        </w:rPr>
        <w:t> 备注：</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标项三:</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标项名称:阿图什市街道办事处社区卫生服务中心项目设备采购项目（3包）</w:t>
      </w:r>
    </w:p>
    <w:p>
      <w:pPr>
        <w:pStyle w:val="2"/>
        <w:rPr>
          <w:rFonts w:hint="eastAsia"/>
          <w:lang w:val="en-US" w:eastAsia="zh-CN"/>
        </w:rPr>
      </w:pPr>
      <w:r>
        <w:rPr>
          <w:rFonts w:ascii="仿宋" w:hAnsi="仿宋" w:eastAsia="仿宋" w:cs="仿宋"/>
          <w:i w:val="0"/>
          <w:iCs w:val="0"/>
          <w:caps w:val="0"/>
          <w:color w:val="000000"/>
          <w:spacing w:val="0"/>
          <w:sz w:val="24"/>
          <w:szCs w:val="24"/>
        </w:rPr>
        <w:t> 数量:</w:t>
      </w:r>
      <w:r>
        <w:rPr>
          <w:rFonts w:hint="eastAsia" w:ascii="仿宋" w:hAnsi="仿宋" w:eastAsia="仿宋" w:cs="仿宋"/>
          <w:i w:val="0"/>
          <w:iCs w:val="0"/>
          <w:caps w:val="0"/>
          <w:color w:val="000000"/>
          <w:spacing w:val="0"/>
          <w:sz w:val="24"/>
          <w:szCs w:val="24"/>
        </w:rPr>
        <w:t>1</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预算金额（元）:4624100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简要规格描述或项目基本概况介绍、用途：生化仪、动态血压仪、动态心电图、疫苗专用冰箱、足疗沙发、电脑中频治疗仪、红外光灸疗机（局部）、红外光灸疗机（全身）、深层肌肉刺激仪、艾灸移动吸烟机、蒸汽煎药机、盆腔治疗仪、中药雾化吸入机、牵引床、中药熏蒸调理舱、玉疗床、盐疗床、沙疗床、微波治疗仪、妇科治疗床、3D远红外养生仪、碧波庭养生仪、石熏烯量子太空舱、TDP(特定电磁波治疗器)、足疗仪、病床配套、超频正骨枪、电机筋膜枪；具体详见参数附件或招标文件。</w:t>
      </w:r>
    </w:p>
    <w:p>
      <w:pPr>
        <w:pStyle w:val="2"/>
        <w:rPr>
          <w:rFonts w:hint="eastAsia"/>
          <w:highlight w:val="none"/>
          <w:lang w:val="en-US" w:eastAsia="zh-CN"/>
        </w:rPr>
      </w:pPr>
      <w:r>
        <w:rPr>
          <w:rFonts w:hint="eastAsia" w:ascii="仿宋" w:hAnsi="仿宋" w:eastAsia="仿宋" w:cs="仿宋"/>
          <w:highlight w:val="none"/>
        </w:rPr>
        <w:t> 备注：</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标项四:</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标项名称:阿图什市街道办事处社区卫生服务中心项目设备采购项目（4包）</w:t>
      </w:r>
    </w:p>
    <w:p>
      <w:pPr>
        <w:pStyle w:val="2"/>
        <w:rPr>
          <w:rFonts w:hint="eastAsia"/>
          <w:lang w:val="en-US" w:eastAsia="zh-CN"/>
        </w:rPr>
      </w:pPr>
      <w:r>
        <w:rPr>
          <w:rFonts w:ascii="仿宋" w:hAnsi="仿宋" w:eastAsia="仿宋" w:cs="仿宋"/>
          <w:i w:val="0"/>
          <w:iCs w:val="0"/>
          <w:caps w:val="0"/>
          <w:color w:val="000000"/>
          <w:spacing w:val="0"/>
          <w:sz w:val="24"/>
          <w:szCs w:val="24"/>
        </w:rPr>
        <w:t> 数量:</w:t>
      </w:r>
      <w:r>
        <w:rPr>
          <w:rFonts w:hint="eastAsia" w:ascii="仿宋" w:hAnsi="仿宋" w:eastAsia="仿宋" w:cs="仿宋"/>
          <w:i w:val="0"/>
          <w:iCs w:val="0"/>
          <w:caps w:val="0"/>
          <w:color w:val="000000"/>
          <w:spacing w:val="0"/>
          <w:sz w:val="24"/>
          <w:szCs w:val="24"/>
        </w:rPr>
        <w:t>1</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预算金额（元）:4710000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简要规格描述或项目基本概况介绍、用途：身份证识别道闸、激光过包安检机、智慧疫苗接种数字系统、中央空调、电视机、电脑、打印、复印一体机、室外强力巨彩Q5大屏；具体详见参数附件或招标文件。</w:t>
      </w:r>
    </w:p>
    <w:p>
      <w:pPr>
        <w:pStyle w:val="2"/>
        <w:rPr>
          <w:rFonts w:hint="eastAsia"/>
          <w:highlight w:val="none"/>
          <w:lang w:val="en-US" w:eastAsia="zh-CN"/>
        </w:rPr>
      </w:pPr>
      <w:r>
        <w:rPr>
          <w:rFonts w:hint="eastAsia" w:ascii="仿宋" w:hAnsi="仿宋" w:eastAsia="仿宋" w:cs="仿宋"/>
          <w:highlight w:val="none"/>
        </w:rPr>
        <w:t> 备注：</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合同履约期限：标项 1、2、3、4，自合同签订之日起15天内完成供货。</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本项目（否）接受联合体投标。</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二、申请人的资格要求：</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1.满足《中华人民共和国政府采购法》第二十二条规定；</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落实政府采购政策需满足的资格要求：标项1、2、3、4：本项目为非专门面向中小企业（含中型、小型、微型企业）采购项目，根据《政府采购促进中小企业发展管理办法》（财库【2020】46号）得规定，评标时将给予此类企业进行价格10%得优惠，用优惠后的价格参与评审。</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3.本项目的特定资格要求：</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【标项1、2、3、4】</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（1）具备三证合一营业执照副本；</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（2）法定代表人投标需提供法定代表人资格证明书，委托代理人投标需提供法定代表人授权委托书；</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（3）参加采购活动前三年内，在经营活动中没有重大违法记录，供应商须提供 “信用中国”网站（http://www.creditchina.gov.cn/）、“中国政府采购网”网站（http://www.ccgp.gov.cn）无违法违规行为的查询纪录（提供查询结果网页截图并加盖供应商公章）；</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三、获取招标文件</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时间：2022年 10月10日至2022年 10 月21日，每天上午10:00至14:00，下午16:00至19:30（北京时间，法定节假日除外）</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bookmarkStart w:id="133" w:name="_GoBack"/>
      <w:bookmarkEnd w:id="133"/>
      <w:r>
        <w:rPr>
          <w:rFonts w:hint="eastAsia" w:ascii="仿宋" w:hAnsi="仿宋" w:eastAsia="仿宋" w:cs="仿宋"/>
          <w:color w:val="auto"/>
          <w:sz w:val="24"/>
          <w:szCs w:val="24"/>
          <w:highlight w:val="none"/>
          <w:lang w:val="en-US" w:eastAsia="zh-CN"/>
        </w:rPr>
        <w:t>地点：供应商登陆政采云平台http://www.zcygov.cn/，在线申请获取招标文件（登录政府采购云平台 → 项目采购 → 获取招标文件→申请，审核通过后可下载招标文件，如有操作性问题，可与政采云在线客服进行咨询，咨询电话：400-881-7190）。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方式：（1）线上获取（登录政府采购云平台 → 项目采购 → 获取招标文件→ 申请，审核通过后可下载招标文件）。本次招标不提供纸质版招标文件。（2）供应商获取招标文件前应注册成为政府采购云平台正式供应商。</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售价（元）：0</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四、提交投标文件截止时间、开标时间和地点</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提交投标文件截止时间：2022年 10月31日 10:30（北京时间）</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投标地点：新疆政府采购云平台（www.zcygov.cn）</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开标时间：2022年 10月31日 10:30（北京时间）</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开标地点：新疆政府采购云平台（www.zcygov.cn）</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五、公告期限</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自本公告发布之日起5个工作日。</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六、其他补充事宜</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1.本项目采用全流程不见面电子开评标，投标供应商需要使用CA加密设备，供应商可通过新疆数字证书认证中心官网（https://www.xjca.com.cn/）或下载“新疆政务通”APP自行进行申领。</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2.本项目实行网上投标，采用加密电子投标文件(供应商须使用CA加密设备通过政采云电子投标客户端制作投标文件)。若供应商参与投标，自行承担投标一切费用。</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5.供应商在开标时须使用制作加密电子投标文件所使用的CA锁及电脑，电脑须提前配置好浏览器（建议使用谷歌浏览器），以便开标时解锁。</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7.为了保证开评标顺利进行，政采云线上开标功能完全实现，供应商开标所使用的电脑设备须具有视频及语音功能。</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申请获取采购文件前须上传的资格证明文件扫描件有：（1）具备三证合一营业执照副本；（2）法定代表人投标需提供法定代表人资格证明书，委托代理人投标需提供法定代表人授权委托书；（3）参加采购活动前三年内，在经营活动中没有重大违法记录，供应商须提供 “信用中国”网站（http://www.creditchina.gov.cn/）、“中国政府采购网”网站（http://www.ccgp.gov.cn）无违法违规行为的查询纪录（提供查询结果网页截图并加盖供应商公章）；（4）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5).需注明所投标段。</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特别提示：</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1、超过200万元的货物和服务采购项目、超过400万元的工程采购项目中适宜由中小企业提供的，预留该部分采购项目预算总额的40%以上专门面向中小企业采购，其中预留给小微企业的比例不低于60%。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对于未预留份额专门面向中小企业的采购项目，以及预留份额项目中的非预留部分采购包，采购人、采购代理机构应当对符合规定的小微企业报价给予10%~20%（工程项目为6%~10%）的扣除，用扣除后的价格参加评审。适用招标投标法的政府采购工程建设项目，采用综合评估法但未采用低价优先法计算价格分的，评标时应当在采用原报价进行评分的基础上增加其价格得分的6%~10%作为其价格分。</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6%（工程项目为2%~4%）的扣除，用扣除后的价格参加评审。适用招标投标法的政府采购工程建设项目，采用综合评估法但未采用低价优先法计算价格分的，评标时应当在采用原报价进行评分的基础上增加其价格得分的2%~4%作为其价格分。</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七、对本次采购提出询问，请按以下方式联系</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1.采购人信息</w:t>
      </w:r>
    </w:p>
    <w:p>
      <w:pPr>
        <w:shd w:val="clear" w:color="auto" w:fill="auto"/>
        <w:spacing w:line="360" w:lineRule="auto"/>
        <w:jc w:val="lef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名 称：阿图什市卫生健康委员会</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 址：克州阿图什市</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联系方式：13345373958</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2.采购代理机构信息</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名 称：新疆天勤工程管理有限公司</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 址：克州阿图什市迎宾路80号三楼</w:t>
      </w:r>
    </w:p>
    <w:p>
      <w:pPr>
        <w:shd w:val="clear" w:color="auto" w:fill="auto"/>
        <w:spacing w:line="360" w:lineRule="auto"/>
        <w:jc w:val="lef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联系方式：13779615026</w:t>
      </w:r>
      <w:r>
        <w:rPr>
          <w:rFonts w:hint="eastAsia" w:ascii="仿宋" w:hAnsi="仿宋" w:eastAsia="仿宋" w:cs="仿宋"/>
          <w:color w:val="auto"/>
          <w:sz w:val="24"/>
          <w:szCs w:val="24"/>
          <w:highlight w:val="none"/>
          <w:lang w:val="en-US" w:eastAsia="zh-CN"/>
        </w:rPr>
        <w:tab/>
      </w:r>
      <w:r>
        <w:rPr>
          <w:rFonts w:hint="eastAsia" w:ascii="仿宋" w:hAnsi="仿宋" w:eastAsia="仿宋" w:cs="仿宋"/>
          <w:color w:val="auto"/>
          <w:sz w:val="24"/>
          <w:szCs w:val="24"/>
          <w:highlight w:val="none"/>
          <w:lang w:val="en-US" w:eastAsia="zh-CN"/>
        </w:rPr>
        <w:tab/>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3.项目联系方式</w:t>
      </w:r>
    </w:p>
    <w:p>
      <w:pPr>
        <w:shd w:val="clear" w:color="auto" w:fill="auto"/>
        <w:spacing w:line="360" w:lineRule="auto"/>
        <w:jc w:val="lef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项目联系人：王先生</w:t>
      </w:r>
    </w:p>
    <w:p>
      <w:pPr>
        <w:outlineLvl w:val="9"/>
        <w:rPr>
          <w:rFonts w:hint="eastAsia"/>
          <w:highlight w:val="none"/>
        </w:rPr>
      </w:pPr>
      <w:r>
        <w:rPr>
          <w:rFonts w:hint="eastAsia" w:ascii="仿宋" w:hAnsi="仿宋" w:eastAsia="仿宋" w:cs="仿宋"/>
          <w:color w:val="auto"/>
          <w:sz w:val="24"/>
          <w:szCs w:val="24"/>
          <w:highlight w:val="none"/>
          <w:lang w:val="en-US" w:eastAsia="zh-CN"/>
        </w:rPr>
        <w:t>电 话：13779615026</w:t>
      </w:r>
    </w:p>
    <w:p>
      <w:pPr>
        <w:pStyle w:val="34"/>
        <w:keepNext/>
        <w:keepLines/>
        <w:pageBreakBefore w:val="0"/>
        <w:widowControl w:val="0"/>
        <w:shd w:val="clear" w:color="auto" w:fill="auto"/>
        <w:kinsoku/>
        <w:wordWrap/>
        <w:overflowPunct/>
        <w:topLinePunct w:val="0"/>
        <w:autoSpaceDE/>
        <w:autoSpaceDN/>
        <w:bidi w:val="0"/>
        <w:adjustRightInd/>
        <w:snapToGrid/>
        <w:spacing w:before="0" w:after="240" w:line="200" w:lineRule="atLeast"/>
        <w:ind w:left="0" w:right="0" w:firstLine="0"/>
        <w:jc w:val="center"/>
        <w:textAlignment w:val="auto"/>
        <w:outlineLvl w:val="9"/>
        <w:rPr>
          <w:rFonts w:hint="eastAsia" w:ascii="仿宋" w:hAnsi="仿宋" w:eastAsia="仿宋" w:cs="仿宋"/>
          <w:b/>
          <w:bCs/>
          <w:color w:val="auto"/>
          <w:sz w:val="36"/>
          <w:szCs w:val="36"/>
          <w:highlight w:val="none"/>
        </w:rPr>
      </w:pPr>
      <w:bookmarkStart w:id="5" w:name="_Toc29207"/>
      <w:bookmarkStart w:id="6" w:name="_Toc20056"/>
      <w:bookmarkStart w:id="7" w:name="_Toc7317"/>
      <w:r>
        <w:rPr>
          <w:rFonts w:hint="eastAsia" w:ascii="仿宋" w:hAnsi="仿宋" w:eastAsia="仿宋" w:cs="仿宋"/>
          <w:b/>
          <w:bCs/>
          <w:color w:val="auto"/>
          <w:spacing w:val="0"/>
          <w:w w:val="100"/>
          <w:position w:val="0"/>
          <w:sz w:val="36"/>
          <w:szCs w:val="36"/>
          <w:highlight w:val="none"/>
        </w:rPr>
        <w:t>第二部分</w:t>
      </w:r>
      <w:r>
        <w:rPr>
          <w:rFonts w:hint="eastAsia" w:ascii="仿宋" w:hAnsi="仿宋" w:eastAsia="仿宋" w:cs="仿宋"/>
          <w:b/>
          <w:bCs/>
          <w:color w:val="auto"/>
          <w:spacing w:val="0"/>
          <w:w w:val="100"/>
          <w:position w:val="0"/>
          <w:sz w:val="36"/>
          <w:szCs w:val="36"/>
          <w:highlight w:val="none"/>
          <w:lang w:val="en-US" w:eastAsia="zh-CN"/>
        </w:rPr>
        <w:t xml:space="preserve"> </w:t>
      </w:r>
      <w:r>
        <w:rPr>
          <w:rFonts w:hint="eastAsia" w:ascii="仿宋" w:hAnsi="仿宋" w:eastAsia="仿宋" w:cs="仿宋"/>
          <w:b/>
          <w:bCs/>
          <w:color w:val="auto"/>
          <w:spacing w:val="0"/>
          <w:w w:val="100"/>
          <w:position w:val="0"/>
          <w:sz w:val="36"/>
          <w:szCs w:val="36"/>
          <w:highlight w:val="none"/>
        </w:rPr>
        <w:t>供应商须知</w:t>
      </w:r>
      <w:bookmarkEnd w:id="5"/>
      <w:bookmarkEnd w:id="6"/>
      <w:bookmarkEnd w:id="7"/>
    </w:p>
    <w:p>
      <w:pPr>
        <w:pStyle w:val="35"/>
        <w:keepNext w:val="0"/>
        <w:keepLines w:val="0"/>
        <w:pageBreakBefore w:val="0"/>
        <w:widowControl w:val="0"/>
        <w:shd w:val="clear" w:color="auto" w:fill="auto"/>
        <w:kinsoku/>
        <w:wordWrap/>
        <w:overflowPunct/>
        <w:topLinePunct w:val="0"/>
        <w:autoSpaceDE/>
        <w:autoSpaceDN/>
        <w:bidi w:val="0"/>
        <w:adjustRightInd/>
        <w:snapToGrid/>
        <w:spacing w:before="0" w:after="0" w:line="120" w:lineRule="auto"/>
        <w:ind w:right="0"/>
        <w:jc w:val="center"/>
        <w:textAlignment w:val="auto"/>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4"/>
          <w:szCs w:val="24"/>
          <w:highlight w:val="none"/>
          <w:lang w:eastAsia="zh-CN"/>
        </w:rPr>
        <w:t>供应商</w:t>
      </w:r>
      <w:r>
        <w:rPr>
          <w:rFonts w:hint="eastAsia" w:ascii="仿宋" w:hAnsi="仿宋" w:eastAsia="仿宋" w:cs="仿宋"/>
          <w:b/>
          <w:bCs/>
          <w:color w:val="auto"/>
          <w:spacing w:val="0"/>
          <w:w w:val="100"/>
          <w:position w:val="0"/>
          <w:sz w:val="24"/>
          <w:szCs w:val="24"/>
          <w:highlight w:val="none"/>
        </w:rPr>
        <w:t>须知前附表</w:t>
      </w:r>
    </w:p>
    <w:tbl>
      <w:tblPr>
        <w:tblStyle w:val="24"/>
        <w:tblW w:w="10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
        <w:gridCol w:w="1720"/>
        <w:gridCol w:w="7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widowControl/>
              <w:spacing w:line="334" w:lineRule="exact"/>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序 号</w:t>
            </w:r>
          </w:p>
        </w:tc>
        <w:tc>
          <w:tcPr>
            <w:tcW w:w="1720" w:type="dxa"/>
            <w:noWrap w:val="0"/>
            <w:vAlign w:val="center"/>
          </w:tcPr>
          <w:p>
            <w:pPr>
              <w:widowControl/>
              <w:spacing w:line="334" w:lineRule="exact"/>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名  称</w:t>
            </w:r>
          </w:p>
        </w:tc>
        <w:tc>
          <w:tcPr>
            <w:tcW w:w="7900" w:type="dxa"/>
            <w:noWrap w:val="0"/>
            <w:vAlign w:val="center"/>
          </w:tcPr>
          <w:p>
            <w:pPr>
              <w:widowControl/>
              <w:spacing w:line="334" w:lineRule="exact"/>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w:t>
            </w:r>
          </w:p>
        </w:tc>
        <w:tc>
          <w:tcPr>
            <w:tcW w:w="1720" w:type="dxa"/>
            <w:noWrap w:val="0"/>
            <w:vAlign w:val="center"/>
          </w:tcPr>
          <w:p>
            <w:pPr>
              <w:shd w:val="clear" w:color="auto" w:fill="auto"/>
              <w:spacing w:line="360" w:lineRule="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项目名称</w:t>
            </w:r>
          </w:p>
          <w:p>
            <w:pPr>
              <w:shd w:val="clear" w:color="auto" w:fill="auto"/>
              <w:spacing w:line="360" w:lineRule="auto"/>
              <w:jc w:val="center"/>
              <w:outlineLvl w:val="9"/>
              <w:rPr>
                <w:rFonts w:hint="eastAsia"/>
                <w:color w:val="auto"/>
                <w:highlight w:val="none"/>
                <w:lang w:val="en-US" w:eastAsia="zh-CN"/>
              </w:rPr>
            </w:pPr>
            <w:r>
              <w:rPr>
                <w:rFonts w:hint="eastAsia" w:ascii="仿宋" w:hAnsi="仿宋" w:eastAsia="仿宋" w:cs="仿宋"/>
                <w:color w:val="auto"/>
                <w:sz w:val="24"/>
                <w:szCs w:val="24"/>
                <w:highlight w:val="none"/>
                <w:lang w:val="en-US" w:eastAsia="zh-CN"/>
              </w:rPr>
              <w:t>项目编号</w:t>
            </w:r>
          </w:p>
          <w:p>
            <w:pPr>
              <w:shd w:val="clear" w:color="auto" w:fill="auto"/>
              <w:spacing w:line="360" w:lineRule="auto"/>
              <w:jc w:val="center"/>
              <w:outlineLvl w:val="9"/>
              <w:rPr>
                <w:rFonts w:hint="eastAsia"/>
                <w:color w:val="auto"/>
                <w:highlight w:val="none"/>
                <w:lang w:val="en-US" w:eastAsia="zh-CN"/>
              </w:rPr>
            </w:pPr>
            <w:r>
              <w:rPr>
                <w:rFonts w:hint="eastAsia" w:ascii="仿宋" w:hAnsi="仿宋" w:eastAsia="仿宋" w:cs="仿宋"/>
                <w:color w:val="auto"/>
                <w:sz w:val="24"/>
                <w:szCs w:val="24"/>
                <w:highlight w:val="none"/>
                <w:lang w:val="en-US" w:eastAsia="zh-CN"/>
              </w:rPr>
              <w:t>采购内容</w:t>
            </w:r>
          </w:p>
          <w:p>
            <w:pPr>
              <w:shd w:val="clear" w:color="auto" w:fill="auto"/>
              <w:spacing w:line="360" w:lineRule="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供货期</w:t>
            </w:r>
          </w:p>
        </w:tc>
        <w:tc>
          <w:tcPr>
            <w:tcW w:w="7900" w:type="dxa"/>
            <w:noWrap w:val="0"/>
            <w:vAlign w:val="center"/>
          </w:tcPr>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项目名称：阿图什市街道办事处社区卫生服务中心项目设备采购项目（4包）</w:t>
            </w:r>
          </w:p>
          <w:p>
            <w:pPr>
              <w:shd w:val="clear" w:color="auto" w:fill="auto"/>
              <w:spacing w:line="360" w:lineRule="auto"/>
              <w:jc w:val="lef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项目编号：ATSSJYZX-2022082-4</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采购内容：身份证识别道闸、激光过包安检机、智慧疫苗接种数字系统、中央空调、电视机、电脑、打印、复印一体机、室外强力巨彩Q5大屏；具体详见参数附件或招标文件。</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供货期：自合同签订之日起15天内完成供货。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采购人信息</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名  称：阿图什市卫生健康委员会</w:t>
            </w:r>
          </w:p>
          <w:p>
            <w:pPr>
              <w:shd w:val="clear" w:color="auto" w:fill="auto"/>
              <w:spacing w:line="360" w:lineRule="auto"/>
              <w:jc w:val="left"/>
              <w:outlineLvl w:val="9"/>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联系人：胡先生       电  话：13345373958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采购代理机构</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名  称：新疆天勤工程管理有限公司</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地  址：克州阿图什市迎宾路80号三楼 </w:t>
            </w:r>
          </w:p>
          <w:p>
            <w:pPr>
              <w:shd w:val="clear" w:color="auto" w:fill="auto"/>
              <w:spacing w:line="360" w:lineRule="auto"/>
              <w:jc w:val="left"/>
              <w:outlineLvl w:val="9"/>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联系人：王</w:t>
            </w:r>
            <w:r>
              <w:rPr>
                <w:rFonts w:hint="eastAsia" w:ascii="仿宋" w:hAnsi="仿宋" w:eastAsia="仿宋" w:cs="仿宋"/>
                <w:b w:val="0"/>
                <w:color w:val="auto"/>
                <w:kern w:val="2"/>
                <w:sz w:val="24"/>
                <w:szCs w:val="24"/>
                <w:highlight w:val="none"/>
                <w:lang w:val="en-US" w:eastAsia="zh-CN" w:bidi="ar-SA"/>
              </w:rPr>
              <w:t>先生</w:t>
            </w:r>
            <w:r>
              <w:rPr>
                <w:rFonts w:hint="eastAsia" w:ascii="仿宋" w:hAnsi="仿宋" w:eastAsia="仿宋" w:cs="仿宋"/>
                <w:b w:val="0"/>
                <w:bCs w:val="0"/>
                <w:color w:val="auto"/>
                <w:sz w:val="24"/>
                <w:szCs w:val="24"/>
                <w:highlight w:val="none"/>
                <w:lang w:val="en-US" w:eastAsia="zh-CN"/>
              </w:rPr>
              <w:t xml:space="preserve">       电  话：13779615026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4</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最终交货地点</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采购单位指定地点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5</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资格要求</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1.满足《中华人民共和国政府采购法》第二十二条规定；</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落实政府采购政策需满足的资格要求：标项1、2、3、4：本项目为非专门面向中小企业（含中型、小型、微型企业）采购项目，根据《政府采购促进中小企业发展管理办法》（财库【2020】46号）得规定，评标时将给予此类企业进行价格10%得优惠，用优惠后的价格参与评审。</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3.本项目的特定资格要求：</w:t>
            </w:r>
          </w:p>
          <w:p>
            <w:pPr>
              <w:shd w:val="clear" w:color="auto" w:fill="auto"/>
              <w:spacing w:line="360" w:lineRule="auto"/>
              <w:jc w:val="left"/>
              <w:outlineLvl w:val="9"/>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（1）具备三证合一营业执照副本；</w:t>
            </w:r>
          </w:p>
          <w:p>
            <w:pPr>
              <w:shd w:val="clear" w:color="auto" w:fill="auto"/>
              <w:spacing w:line="360" w:lineRule="auto"/>
              <w:jc w:val="left"/>
              <w:outlineLvl w:val="9"/>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（2）法定代表人投标需提供法定代表人资格证明书，委托代理人投标需提供法定代表人授权委托书；</w:t>
            </w:r>
          </w:p>
          <w:p>
            <w:pPr>
              <w:shd w:val="clear" w:color="auto" w:fill="auto"/>
              <w:spacing w:line="360" w:lineRule="auto"/>
              <w:jc w:val="left"/>
              <w:outlineLvl w:val="9"/>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（3）参加采购活动前三年内，在经营活动中没有重大违法记录，供应商须提供 “信用中国”网站（http://www.creditchina.gov.cn/）、“中国政府采购网”网站（http://www.ccgp.gov.cn）无违法违规行为的查询纪录（提供查询结果网页截图并加盖供应商公章）；</w:t>
            </w:r>
          </w:p>
          <w:p>
            <w:pPr>
              <w:shd w:val="clear" w:color="auto" w:fill="auto"/>
              <w:spacing w:line="360" w:lineRule="auto"/>
              <w:jc w:val="left"/>
              <w:outlineLvl w:val="9"/>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（4）投标企业须提供投标人（被授权在职人员）近期社保证明</w:t>
            </w:r>
          </w:p>
          <w:p>
            <w:pPr>
              <w:shd w:val="clear" w:color="auto" w:fill="auto"/>
              <w:spacing w:line="360" w:lineRule="auto"/>
              <w:jc w:val="left"/>
              <w:outlineLvl w:val="9"/>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5）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6</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资金来源</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一般债券资金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7</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招标方式</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公开招标(本项目采用网上电子招投标)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8</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供应商信用查询</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1、查询渠道：信用中国（网址：http://www.creditchina.gov.cn）、中国政府采购网(网址：http://www.ccgp.gov.cn）。</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2、截止时点：开标后评标前。</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3、信用信息查询记录和证据留存的具体方式：由采购组织机构在规定查询时间内打印信用信息查询记录并归入项目档案。</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联合体成员任意一方存在不良信用记录的，视同联合体存在不良信用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9</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是否接受联合体投标</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■不接受</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□接  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10</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投标截止时间 （开标时间）</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截止时间：2022年 10月 31 日10时30分（北京时间）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11</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投标有效期</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 60 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12</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投标保证金</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政府采购投标保证金要求：</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投标保证金交纳方式：投标保证金应当以支票、汇票、本票、网上银行支付或者金融机构、担保机构出具的保函等非现金形式交纳。</w:t>
            </w:r>
          </w:p>
          <w:p>
            <w:pPr>
              <w:shd w:val="clear" w:color="auto" w:fill="auto"/>
              <w:spacing w:line="360" w:lineRule="auto"/>
              <w:ind w:left="240" w:hanging="240" w:hangingChars="100"/>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投标保证金的金额：1包：78900元；2包；67800元；3包：67600元；</w:t>
            </w:r>
          </w:p>
          <w:p>
            <w:pPr>
              <w:shd w:val="clear" w:color="auto" w:fill="auto"/>
              <w:spacing w:line="360" w:lineRule="auto"/>
              <w:ind w:left="240" w:hanging="240" w:hangingChars="100"/>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4包：56700元。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投标保证金交纳要求：</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1、投标保证金以电汇、网银等转账形式提交的，应在投标截止时间2022年</w:t>
            </w:r>
            <w:r>
              <w:rPr>
                <w:rFonts w:hint="eastAsia" w:ascii="仿宋" w:hAnsi="仿宋" w:eastAsia="仿宋" w:cs="仿宋"/>
                <w:b w:val="0"/>
                <w:bCs w:val="0"/>
                <w:color w:val="auto"/>
                <w:sz w:val="24"/>
                <w:szCs w:val="24"/>
                <w:highlight w:val="none"/>
                <w:u w:val="single"/>
                <w:lang w:val="en-US" w:eastAsia="zh-CN"/>
              </w:rPr>
              <w:t xml:space="preserve">  10</w:t>
            </w:r>
            <w:r>
              <w:rPr>
                <w:rFonts w:hint="eastAsia" w:ascii="仿宋" w:hAnsi="仿宋" w:eastAsia="仿宋" w:cs="仿宋"/>
                <w:b w:val="0"/>
                <w:bCs w:val="0"/>
                <w:color w:val="auto"/>
                <w:sz w:val="24"/>
                <w:szCs w:val="24"/>
                <w:highlight w:val="none"/>
                <w:lang w:val="en-US" w:eastAsia="zh-CN"/>
              </w:rPr>
              <w:t>月</w:t>
            </w:r>
            <w:r>
              <w:rPr>
                <w:rFonts w:hint="eastAsia" w:ascii="仿宋" w:hAnsi="仿宋" w:eastAsia="仿宋" w:cs="仿宋"/>
                <w:b w:val="0"/>
                <w:bCs w:val="0"/>
                <w:color w:val="auto"/>
                <w:sz w:val="24"/>
                <w:szCs w:val="24"/>
                <w:highlight w:val="none"/>
                <w:u w:val="single"/>
                <w:lang w:val="en-US" w:eastAsia="zh-CN"/>
              </w:rPr>
              <w:t xml:space="preserve"> 31 </w:t>
            </w:r>
            <w:r>
              <w:rPr>
                <w:rFonts w:hint="eastAsia" w:ascii="仿宋" w:hAnsi="仿宋" w:eastAsia="仿宋" w:cs="仿宋"/>
                <w:b w:val="0"/>
                <w:bCs w:val="0"/>
                <w:color w:val="auto"/>
                <w:sz w:val="24"/>
                <w:szCs w:val="24"/>
                <w:highlight w:val="none"/>
                <w:lang w:val="en-US" w:eastAsia="zh-CN"/>
              </w:rPr>
              <w:t>日10:30时（北京时间）前以总公司的基本账户一次性汇入指定账户（以到账时间为准），不接受现金及任何个人汇款。确认到账后，持银行交款单、基本户开户许可证（基本存款账户信息）到阿图什市政务服务和公共资源交易中心（阿图什市财政局六楼）换取票据收据，开标现场持此项目开具的票据收据原件，标书内附此票据收据复印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2、投标保证金以保函等票据形式提交的，在开标现场持金融机构、担保机构出具的票据原件，标书内附此票据复印件。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3、有效投标保证金成功交纳后，截止开标时间，供应商无正当理由不参加该项目投标且不递交弃标函，投标保证金不予退还。</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户名：阿图什市政务服务和公共资源交易中心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账号：30456301040005267</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行名：中国农业银行阿图什市天山分理处</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行号：103893045636</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联系人：祝女士</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 电话：0908-4222076    </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（备注：必须写清楚某某公司某某项目保证金）</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投标保证金退还：</w:t>
            </w:r>
          </w:p>
          <w:p>
            <w:pPr>
              <w:numPr>
                <w:ilvl w:val="0"/>
                <w:numId w:val="2"/>
              </w:num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中标供应商持合同和票据收据5日内办理；</w:t>
            </w:r>
          </w:p>
          <w:p>
            <w:pPr>
              <w:numPr>
                <w:ilvl w:val="0"/>
                <w:numId w:val="2"/>
              </w:num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未中标供应商持收据5日内办理；</w:t>
            </w:r>
          </w:p>
          <w:p>
            <w:pPr>
              <w:numPr>
                <w:ilvl w:val="0"/>
                <w:numId w:val="0"/>
              </w:numPr>
              <w:shd w:val="clear" w:color="auto" w:fill="auto"/>
              <w:spacing w:line="360" w:lineRule="auto"/>
              <w:ind w:leftChars="0" w:right="0" w:rightChars="0"/>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3、因供应商自身原因耽搁领取，超过退还时限，不承担延后退还责任。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13</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是否允许递交备选投标方案</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■不允许</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□允  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14</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招标文件领取</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u w:val="none"/>
                <w:lang w:val="en-US" w:eastAsia="zh-CN"/>
              </w:rPr>
              <w:t>时间：2022年 10月 10日至2022年10月 21日，</w:t>
            </w:r>
            <w:r>
              <w:rPr>
                <w:rFonts w:hint="eastAsia" w:ascii="仿宋" w:hAnsi="仿宋" w:eastAsia="仿宋" w:cs="仿宋"/>
                <w:b w:val="0"/>
                <w:bCs w:val="0"/>
                <w:color w:val="auto"/>
                <w:sz w:val="24"/>
                <w:szCs w:val="24"/>
                <w:highlight w:val="none"/>
                <w:lang w:val="en-US" w:eastAsia="zh-CN"/>
              </w:rPr>
              <w:t>每天上午10:00至14:00，下午16:00至19：30（北京时间，节假日除外）</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地点：供应商登陆政采云平台http://www.zcygov.cn/，在线申请获取招标文件 （登录政府采购云平台 → 项目采购 → 获取招标文件 →申请，审核通过后可下载招标文件 ，如有操作性问题，可与政采云在线客服进行咨询，咨询电话：400-881-7190）。</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方式：（1）线上获取（登录政府采购云平台 → 项目采购 → 获取招标文件 → 申请，审核通过后可下载招标文件 ）。本次招标不提供纸质版招标文件 。</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（2）供应商获取招标文件 前应注册成为政府采购云平台正式供应商。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15</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投标文件形式</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电子投标文件包括“电子加密投标文件”和“备份投标文件”，在投标文件编制完成后同时生成。</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1、“电子加密投标文件”是指通过“政采云电子交易客户端”完成投标文件编制后生成并加密的数据电文形式的投标文件。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16</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投标文件份数及要求</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1、一份电子加密标书（“.jmbs”格式），一份备份标书文件（“.bfbs”格式）。</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2、每份电子投标文件应包括资格证明文件和商务及技术文件两部分。</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待开标结束后，各投标企业请于2022年11月09日19:30前提供纸质投标文件叁份并承诺与纸质投标文件内容一致的承诺书至新疆天勤工程管理有限公司（克州阿图什市迎宾路80号三楼）。投标人可采用邮寄方式提供纸质版投标文件（收件地址：克州阿图什市迎宾路80号三楼，收件人：王先生，电话：18104746080），费用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17</w:t>
            </w:r>
          </w:p>
        </w:tc>
        <w:tc>
          <w:tcPr>
            <w:tcW w:w="1720"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投标文件的上传和递交</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1.电子加密投标文件：投标文件制作完成并生成加密标书，在投标截止时间前，供应商需将加密的投标文件上传至政采云平台，在开标时间开始后，待采购组织机构发出解密通知后30分钟内解密投标文件。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a.供应商未能在投标截止时间前成功上传电子加密投标文件的投标无效。</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b.供应商成功上传电子加密投标文件后，可自行打印投标文件接收回执。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continue"/>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vMerge w:val="continue"/>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left"/>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2.备份投标文件：供应商在投标截止时间前将加密的投标文件上传至政府采购云平台，还可以在投标截止时间前以电子邮件方式提供备份投标文件1份（接收人邮箱：</w:t>
            </w:r>
            <w:r>
              <w:rPr>
                <w:rFonts w:hint="eastAsia" w:ascii="仿宋" w:hAnsi="仿宋" w:eastAsia="仿宋" w:cs="仿宋"/>
                <w:color w:val="auto"/>
                <w:sz w:val="24"/>
                <w:szCs w:val="24"/>
                <w:highlight w:val="none"/>
                <w:u w:val="single"/>
                <w:lang w:val="en-US" w:bidi="zh-CN"/>
              </w:rPr>
              <w:t>820740061@qq.com</w:t>
            </w:r>
            <w:r>
              <w:rPr>
                <w:rStyle w:val="28"/>
                <w:rFonts w:hint="eastAsia" w:ascii="仿宋" w:hAnsi="仿宋" w:eastAsia="仿宋" w:cs="仿宋"/>
                <w:color w:val="auto"/>
                <w:sz w:val="24"/>
                <w:szCs w:val="24"/>
                <w:highlight w:val="none"/>
                <w:u w:val="single"/>
                <w:lang w:bidi="zh-CN"/>
              </w:rPr>
              <w:t>，接收人：</w:t>
            </w:r>
            <w:r>
              <w:rPr>
                <w:rFonts w:hint="eastAsia" w:ascii="仿宋" w:hAnsi="仿宋" w:eastAsia="仿宋" w:cs="仿宋"/>
                <w:color w:val="auto"/>
                <w:sz w:val="24"/>
                <w:szCs w:val="24"/>
                <w:highlight w:val="none"/>
                <w:u w:val="single"/>
                <w:lang w:val="en-US" w:bidi="zh-CN"/>
              </w:rPr>
              <w:t>王</w:t>
            </w:r>
            <w:r>
              <w:rPr>
                <w:rFonts w:hint="eastAsia" w:ascii="仿宋" w:hAnsi="仿宋" w:eastAsia="仿宋" w:cs="仿宋"/>
                <w:color w:val="auto"/>
                <w:sz w:val="24"/>
                <w:szCs w:val="24"/>
                <w:highlight w:val="none"/>
                <w:u w:val="single"/>
                <w:lang w:bidi="zh-CN"/>
              </w:rPr>
              <w:t>先生</w:t>
            </w:r>
            <w:r>
              <w:rPr>
                <w:rStyle w:val="28"/>
                <w:rFonts w:hint="eastAsia" w:ascii="仿宋" w:hAnsi="仿宋" w:eastAsia="仿宋" w:cs="仿宋"/>
                <w:color w:val="auto"/>
                <w:sz w:val="24"/>
                <w:szCs w:val="24"/>
                <w:highlight w:val="none"/>
                <w:u w:val="single"/>
                <w:lang w:bidi="zh-CN"/>
              </w:rPr>
              <w:t>，电话：</w:t>
            </w:r>
            <w:r>
              <w:rPr>
                <w:rStyle w:val="28"/>
                <w:rFonts w:hint="eastAsia" w:ascii="仿宋" w:hAnsi="仿宋" w:eastAsia="仿宋" w:cs="仿宋"/>
                <w:color w:val="auto"/>
                <w:sz w:val="24"/>
                <w:szCs w:val="24"/>
                <w:highlight w:val="none"/>
                <w:u w:val="single"/>
                <w:lang w:val="en-US" w:bidi="zh-CN"/>
              </w:rPr>
              <w:t xml:space="preserve">13779615026 </w:t>
            </w:r>
            <w:r>
              <w:rPr>
                <w:rFonts w:hint="eastAsia" w:ascii="仿宋" w:hAnsi="仿宋" w:eastAsia="仿宋" w:cs="仿宋"/>
                <w:b w:val="0"/>
                <w:bCs w:val="0"/>
                <w:color w:val="auto"/>
                <w:sz w:val="24"/>
                <w:szCs w:val="24"/>
                <w:highlight w:val="none"/>
                <w:lang w:val="en-US" w:eastAsia="zh-CN"/>
              </w:rPr>
              <w:t>），“备份投标文件”由供应商自愿提供，招标文件 不作强制性要求；如不提供或未按要求提供的，当电子投标文件无法解密时，将导致无备份投标文件而失去投标资格。</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18</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评标委员会的组建</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zh-CN" w:eastAsia="zh-CN"/>
              </w:rPr>
            </w:pPr>
            <w:r>
              <w:rPr>
                <w:rFonts w:hint="eastAsia" w:ascii="仿宋" w:hAnsi="仿宋" w:eastAsia="仿宋" w:cs="仿宋"/>
                <w:b w:val="0"/>
                <w:bCs w:val="0"/>
                <w:color w:val="auto"/>
                <w:sz w:val="24"/>
                <w:szCs w:val="24"/>
                <w:highlight w:val="none"/>
                <w:lang w:val="zh-CN" w:eastAsia="zh-CN"/>
              </w:rPr>
              <w:t>评标委员会由招标人依法组建；</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zh-CN" w:eastAsia="zh-CN"/>
              </w:rPr>
            </w:pPr>
            <w:r>
              <w:rPr>
                <w:rFonts w:hint="eastAsia" w:ascii="仿宋" w:hAnsi="仿宋" w:eastAsia="仿宋" w:cs="仿宋"/>
                <w:b w:val="0"/>
                <w:bCs w:val="0"/>
                <w:color w:val="auto"/>
                <w:sz w:val="24"/>
                <w:szCs w:val="24"/>
                <w:highlight w:val="none"/>
                <w:lang w:val="zh-CN" w:eastAsia="zh-CN"/>
              </w:rPr>
              <w:t>评标专家确定方式：专家评委由招标人在开标前从政采云专家库中随机抽取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19</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是否授权评标委员会确定中标候选人</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zh-CN" w:eastAsia="zh-CN"/>
              </w:rPr>
            </w:pPr>
            <w:r>
              <w:rPr>
                <w:rFonts w:hint="eastAsia" w:ascii="仿宋" w:hAnsi="仿宋" w:eastAsia="仿宋" w:cs="仿宋"/>
                <w:b w:val="0"/>
                <w:bCs w:val="0"/>
                <w:color w:val="auto"/>
                <w:sz w:val="24"/>
                <w:szCs w:val="24"/>
                <w:highlight w:val="none"/>
                <w:lang w:val="en-US" w:eastAsia="zh-CN"/>
              </w:rPr>
              <w:t>是，评标委员会推荐3名中标候选人。</w:t>
            </w:r>
            <w:r>
              <w:rPr>
                <w:rFonts w:hint="eastAsia" w:ascii="仿宋" w:hAnsi="仿宋" w:eastAsia="仿宋" w:cs="仿宋"/>
                <w:b w:val="0"/>
                <w:bCs w:val="0"/>
                <w:color w:val="auto"/>
                <w:sz w:val="24"/>
                <w:szCs w:val="24"/>
                <w:highlight w:val="none"/>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20</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递交投标文件地点</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投标截止时间：2022年 10月31日10时30分（北京时间）</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投标地点：新疆政府采购云平台（www.zcygov.cn）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21</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开标时间和地点</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开标时间：2022年 10月31日10时30分（北京时间）</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开标地点：新疆政府采购云平台（www.zcygov.cn）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22</w:t>
            </w:r>
          </w:p>
        </w:tc>
        <w:tc>
          <w:tcPr>
            <w:tcW w:w="1720"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重要说明</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1.本项目采用全流程不见面电子开评标，投标供应商需要使用CA加密设备，供应商可通过新疆数字证书认证中心官网（https://www.xjca.com.cn/）或下载“新疆政务通”APP自行进行申领。</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2.本项目实行网上投标，采用加密电子投标文件(供应商须使用CA加密设备通过政采云电子投标客户端制作投标文件)。若供应商参与投标，自行承担投标一切费用。</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5.供应商在开标时须使用制作加密电子投标文件所使用的CA锁及电脑，电脑须提前配置好浏览器（建议使用谷歌浏览器），以便开标时解锁。</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7.为了保证开评标顺利进行，政采云线上开标功能完全实现，供应商开标所使用的电脑设备须具有视频及语音功能。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continue"/>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1720" w:type="dxa"/>
            <w:vMerge w:val="continue"/>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1、电子招投标情况说明：</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（1）电子招投标：本项目以数据电文形式，依托“政府采购云平台（www.zcygov.cn）”进行招投标活动。</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投标准备：注册账号--点击“商家入驻”，进行政府采购供应商资料填写；申领CA数字证书---申领流程详见“新疆政府采购网-下载专区-电子交易客户端-CA驱动和申领流程”；安装“政采云电子交易客户端”----前往“新疆政府采购网-下载专区-电子交易客户端”进行下载并安装。</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（3）招标文件 的获取：使用账号登录或者短信验证码或者使用CA登录政采云平台；进入“项目采购”应用，在获取招标文件 菜单中选择项目，获取招标文件 。申请获取招标文件 前须上传的资格证明文件扫描件有：营业执照副本原件；法定代表人投标需提供法定代表人资格证明书原件，委托代理人投标需提供法定代表人授权委托书原件；未被“信用中国”（www.creditchina.gov.cn）、中国政府采购网（www.ccgp.gov.cn）列入失信被执行人、重大税收违法案件当事人名单、政府采购严重违法失信行为记录名单（提供查询结果网页截图并加盖供应商公章）。</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（4）投标文件的制作：在“政采云电子交易客户端”中完成“填写基本信息”、“导入投标文件”、“标书关联”、“标书检查”、“电子签名”、“生成电子标书”等操作。</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（5）投标文件的传输递交：供应商在投标截止时间前将加密的投标文件上传至政府采购云平台，还可以在投标截止时间前以电子邮件方式提供备份投标文件1份（接收人邮箱：</w:t>
            </w:r>
            <w:r>
              <w:rPr>
                <w:rFonts w:hint="eastAsia" w:ascii="仿宋" w:hAnsi="仿宋" w:eastAsia="仿宋" w:cs="仿宋"/>
                <w:color w:val="auto"/>
                <w:sz w:val="24"/>
                <w:szCs w:val="24"/>
                <w:highlight w:val="none"/>
                <w:u w:val="single"/>
                <w:lang w:val="en-US" w:bidi="zh-CN"/>
              </w:rPr>
              <w:t>820740061@qq.com</w:t>
            </w:r>
            <w:r>
              <w:rPr>
                <w:rStyle w:val="28"/>
                <w:rFonts w:hint="eastAsia" w:ascii="仿宋" w:hAnsi="仿宋" w:eastAsia="仿宋" w:cs="仿宋"/>
                <w:color w:val="auto"/>
                <w:sz w:val="24"/>
                <w:szCs w:val="24"/>
                <w:highlight w:val="none"/>
                <w:u w:val="single"/>
                <w:lang w:bidi="zh-CN"/>
              </w:rPr>
              <w:t>，接收人：</w:t>
            </w:r>
            <w:r>
              <w:rPr>
                <w:rFonts w:hint="eastAsia" w:ascii="仿宋" w:hAnsi="仿宋" w:eastAsia="仿宋" w:cs="仿宋"/>
                <w:color w:val="auto"/>
                <w:sz w:val="24"/>
                <w:szCs w:val="24"/>
                <w:highlight w:val="none"/>
                <w:u w:val="single"/>
                <w:lang w:val="en-US" w:bidi="zh-CN"/>
              </w:rPr>
              <w:t>王</w:t>
            </w:r>
            <w:r>
              <w:rPr>
                <w:rFonts w:hint="eastAsia" w:ascii="仿宋" w:hAnsi="仿宋" w:eastAsia="仿宋" w:cs="仿宋"/>
                <w:color w:val="auto"/>
                <w:sz w:val="24"/>
                <w:szCs w:val="24"/>
                <w:highlight w:val="none"/>
                <w:u w:val="single"/>
                <w:lang w:bidi="zh-CN"/>
              </w:rPr>
              <w:t>先生</w:t>
            </w:r>
            <w:r>
              <w:rPr>
                <w:rStyle w:val="28"/>
                <w:rFonts w:hint="eastAsia" w:ascii="仿宋" w:hAnsi="仿宋" w:eastAsia="仿宋" w:cs="仿宋"/>
                <w:color w:val="auto"/>
                <w:sz w:val="24"/>
                <w:szCs w:val="24"/>
                <w:highlight w:val="none"/>
                <w:u w:val="single"/>
                <w:lang w:bidi="zh-CN"/>
              </w:rPr>
              <w:t>，电话：</w:t>
            </w:r>
            <w:r>
              <w:rPr>
                <w:rStyle w:val="28"/>
                <w:rFonts w:hint="eastAsia" w:ascii="仿宋" w:hAnsi="仿宋" w:eastAsia="仿宋" w:cs="仿宋"/>
                <w:color w:val="auto"/>
                <w:sz w:val="24"/>
                <w:szCs w:val="24"/>
                <w:highlight w:val="none"/>
                <w:u w:val="single"/>
                <w:lang w:val="en-US" w:bidi="zh-CN"/>
              </w:rPr>
              <w:t>13779615026</w:t>
            </w:r>
            <w:r>
              <w:rPr>
                <w:rFonts w:hint="eastAsia" w:ascii="仿宋" w:hAnsi="仿宋" w:eastAsia="仿宋" w:cs="仿宋"/>
                <w:color w:val="auto"/>
                <w:sz w:val="24"/>
                <w:szCs w:val="24"/>
                <w:highlight w:val="none"/>
                <w:lang w:bidi="zh-CN"/>
              </w:rPr>
              <w:t>）</w:t>
            </w:r>
            <w:r>
              <w:rPr>
                <w:rFonts w:hint="eastAsia" w:ascii="仿宋" w:hAnsi="仿宋" w:eastAsia="仿宋" w:cs="仿宋"/>
                <w:b w:val="0"/>
                <w:bCs w:val="0"/>
                <w:color w:val="auto"/>
                <w:sz w:val="24"/>
                <w:szCs w:val="24"/>
                <w:highlight w:val="none"/>
                <w:lang w:val="en-US" w:eastAsia="zh-CN"/>
              </w:rPr>
              <w:t>，备份投标文件可以打包压缩并加密，压缩包命名为“XX单位备份投标文件”，加密密码由供应商自行保管（“备份投标文件”由供应商自愿提供，招标文件 不作强制性要求；如不提供或未按要求提供的，当电子投标文件无法解密时，将导致无备份投标文件而失去投标资格）。</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（6）投标文件的解密：供应商按照平台提示和招标文件 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（7）具体操作指南：详见政采云平台“服务中心-帮助文档-项目采购-操作流程-电子招投标-政府采购项目电子交易管理操作指南-供应商”。</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（8）供应商在进行上述操作时，如遇技术问题可登录政采云（https://</w:t>
            </w:r>
            <w:r>
              <w:rPr>
                <w:rFonts w:hint="eastAsia" w:ascii="仿宋" w:hAnsi="仿宋" w:eastAsia="仿宋" w:cs="仿宋"/>
                <w:b w:val="0"/>
                <w:bCs w:val="0"/>
                <w:color w:val="auto"/>
                <w:sz w:val="24"/>
                <w:szCs w:val="24"/>
                <w:highlight w:val="none"/>
                <w:lang w:val="en-US" w:eastAsia="zh-CN"/>
              </w:rPr>
              <w:fldChar w:fldCharType="begin"/>
            </w:r>
            <w:r>
              <w:rPr>
                <w:rFonts w:hint="eastAsia" w:ascii="仿宋" w:hAnsi="仿宋" w:eastAsia="仿宋" w:cs="仿宋"/>
                <w:b w:val="0"/>
                <w:bCs w:val="0"/>
                <w:color w:val="auto"/>
                <w:sz w:val="24"/>
                <w:szCs w:val="24"/>
                <w:highlight w:val="none"/>
                <w:lang w:val="en-US" w:eastAsia="zh-CN"/>
              </w:rPr>
              <w:instrText xml:space="preserve">HYPERLINK "http://www.zcygov.cn/" \h</w:instrText>
            </w:r>
            <w:r>
              <w:rPr>
                <w:rFonts w:hint="eastAsia" w:ascii="仿宋" w:hAnsi="仿宋" w:eastAsia="仿宋" w:cs="仿宋"/>
                <w:b w:val="0"/>
                <w:bCs w:val="0"/>
                <w:color w:val="auto"/>
                <w:sz w:val="24"/>
                <w:szCs w:val="24"/>
                <w:highlight w:val="none"/>
                <w:lang w:val="en-US" w:eastAsia="zh-CN"/>
              </w:rPr>
              <w:fldChar w:fldCharType="separate"/>
            </w:r>
            <w:r>
              <w:rPr>
                <w:rFonts w:hint="eastAsia" w:ascii="仿宋" w:hAnsi="仿宋" w:eastAsia="仿宋" w:cs="仿宋"/>
                <w:b w:val="0"/>
                <w:bCs w:val="0"/>
                <w:color w:val="auto"/>
                <w:sz w:val="24"/>
                <w:szCs w:val="24"/>
                <w:highlight w:val="none"/>
                <w:lang w:val="en-US" w:eastAsia="zh-CN"/>
              </w:rPr>
              <w:t>www.zcygov.cn/</w:t>
            </w:r>
            <w:r>
              <w:rPr>
                <w:rFonts w:hint="eastAsia" w:ascii="仿宋" w:hAnsi="仿宋" w:eastAsia="仿宋" w:cs="仿宋"/>
                <w:b w:val="0"/>
                <w:bCs w:val="0"/>
                <w:color w:val="auto"/>
                <w:sz w:val="24"/>
                <w:szCs w:val="24"/>
                <w:highlight w:val="none"/>
                <w:lang w:val="en-US" w:eastAsia="zh-CN"/>
              </w:rPr>
              <w:fldChar w:fldCharType="end"/>
            </w:r>
            <w:r>
              <w:rPr>
                <w:rFonts w:hint="eastAsia" w:ascii="仿宋" w:hAnsi="仿宋" w:eastAsia="仿宋" w:cs="仿宋"/>
                <w:b w:val="0"/>
                <w:bCs w:val="0"/>
                <w:color w:val="auto"/>
                <w:sz w:val="24"/>
                <w:szCs w:val="24"/>
                <w:highlight w:val="none"/>
                <w:lang w:val="en-US" w:eastAsia="zh-CN"/>
              </w:rPr>
              <w:t>），点击右侧咨询小采，获取采小蜜智能服务管家帮助，或拨打政采云服务热线 400-881-7190 获取热线服务帮助。</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温馨提醒：供应商应提前上传，以便在上传时遇到技术问题，有充足的时间请教平台的技术人员。</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2、供应商认为招标文件使自己的权益受到损害的，可以自收到招标文件之日（招标文件 公告期限届满之前收到招标文件 的，以完成获取招标文件 申请后下载招标文件 的时间为准）或者招标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新疆政府采购网下载专区下载。未按规定获取招标文件 或逾期提出的不予受理、答复。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23</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中标候选人公示媒介</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克州公共资源交易中心网、新疆政府采购网，公示期为一个工作日。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24</w:t>
            </w:r>
          </w:p>
        </w:tc>
        <w:tc>
          <w:tcPr>
            <w:tcW w:w="9620" w:type="dxa"/>
            <w:gridSpan w:val="2"/>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招标代理服务费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9620" w:type="dxa"/>
            <w:gridSpan w:val="2"/>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收费标准：中标单位在领取本采购项目中标通知书时，按照《国家计委关于印发招标代理服务收费管理暂行办法的通知（计价格[2002]1980号）中规定收费基准支付代理费及《招标代理服务收费有关问题》（发改办价格[2003]857号文）中规定收取代理费；</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招标代理服务收费标准( 费 率)</w:t>
            </w:r>
          </w:p>
          <w:tbl>
            <w:tblPr>
              <w:tblStyle w:val="24"/>
              <w:tblpPr w:leftFromText="180" w:rightFromText="180" w:vertAnchor="text" w:horzAnchor="page" w:tblpXSpec="center" w:tblpY="19"/>
              <w:tblOverlap w:val="never"/>
              <w:tblW w:w="8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6"/>
              <w:gridCol w:w="1530"/>
              <w:gridCol w:w="1433"/>
              <w:gridCol w:w="1446"/>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1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中标金额</w:t>
                  </w:r>
                </w:p>
              </w:tc>
              <w:tc>
                <w:tcPr>
                  <w:tcW w:w="1530" w:type="dxa"/>
                  <w:noWrap w:val="0"/>
                  <w:vAlign w:val="center"/>
                </w:tcPr>
                <w:p>
                  <w:pPr>
                    <w:shd w:val="clear" w:color="auto" w:fill="auto"/>
                    <w:spacing w:line="360" w:lineRule="auto"/>
                    <w:ind w:firstLine="240" w:firstLineChars="100"/>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货物招标</w:t>
                  </w:r>
                </w:p>
              </w:tc>
              <w:tc>
                <w:tcPr>
                  <w:tcW w:w="1433"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服务招标</w:t>
                  </w:r>
                </w:p>
              </w:tc>
              <w:tc>
                <w:tcPr>
                  <w:tcW w:w="144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工程招标</w:t>
                  </w:r>
                </w:p>
              </w:tc>
              <w:tc>
                <w:tcPr>
                  <w:tcW w:w="1144" w:type="dxa"/>
                  <w:noWrap w:val="0"/>
                  <w:vAlign w:val="center"/>
                </w:tcPr>
                <w:p>
                  <w:pPr>
                    <w:shd w:val="clear" w:color="auto" w:fill="auto"/>
                    <w:tabs>
                      <w:tab w:val="left" w:pos="317"/>
                    </w:tabs>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ab/>
                  </w:r>
                  <w:r>
                    <w:rPr>
                      <w:rFonts w:hint="eastAsia" w:ascii="仿宋" w:hAnsi="仿宋" w:eastAsia="仿宋" w:cs="仿宋"/>
                      <w:b w:val="0"/>
                      <w:bCs w:val="0"/>
                      <w:color w:val="auto"/>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261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100万元以下</w:t>
                  </w:r>
                </w:p>
              </w:tc>
              <w:tc>
                <w:tcPr>
                  <w:tcW w:w="153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1.5%</w:t>
                  </w:r>
                </w:p>
              </w:tc>
              <w:tc>
                <w:tcPr>
                  <w:tcW w:w="1433"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1.5%</w:t>
                  </w:r>
                </w:p>
              </w:tc>
              <w:tc>
                <w:tcPr>
                  <w:tcW w:w="144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w:t>
                  </w:r>
                </w:p>
              </w:tc>
              <w:tc>
                <w:tcPr>
                  <w:tcW w:w="1144"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61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100～500万元</w:t>
                  </w:r>
                </w:p>
              </w:tc>
              <w:tc>
                <w:tcPr>
                  <w:tcW w:w="153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w:t>
                  </w:r>
                </w:p>
              </w:tc>
              <w:tc>
                <w:tcPr>
                  <w:tcW w:w="1433"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0.8%</w:t>
                  </w:r>
                </w:p>
              </w:tc>
              <w:tc>
                <w:tcPr>
                  <w:tcW w:w="144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0.7%</w:t>
                  </w:r>
                </w:p>
              </w:tc>
              <w:tc>
                <w:tcPr>
                  <w:tcW w:w="1144"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61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500～1000万元</w:t>
                  </w:r>
                </w:p>
              </w:tc>
              <w:tc>
                <w:tcPr>
                  <w:tcW w:w="153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0.8%</w:t>
                  </w:r>
                </w:p>
              </w:tc>
              <w:tc>
                <w:tcPr>
                  <w:tcW w:w="1433"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0.45%</w:t>
                  </w:r>
                </w:p>
              </w:tc>
              <w:tc>
                <w:tcPr>
                  <w:tcW w:w="144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0.55%</w:t>
                  </w:r>
                </w:p>
              </w:tc>
              <w:tc>
                <w:tcPr>
                  <w:tcW w:w="1144"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61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1000～5000万元</w:t>
                  </w:r>
                </w:p>
              </w:tc>
              <w:tc>
                <w:tcPr>
                  <w:tcW w:w="153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0.5%</w:t>
                  </w:r>
                </w:p>
              </w:tc>
              <w:tc>
                <w:tcPr>
                  <w:tcW w:w="1433"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0.25%</w:t>
                  </w:r>
                </w:p>
              </w:tc>
              <w:tc>
                <w:tcPr>
                  <w:tcW w:w="144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0.35%</w:t>
                  </w:r>
                </w:p>
              </w:tc>
              <w:tc>
                <w:tcPr>
                  <w:tcW w:w="1144"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r>
          </w:tbl>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注：</w:t>
            </w:r>
          </w:p>
          <w:p>
            <w:pPr>
              <w:numPr>
                <w:ilvl w:val="0"/>
                <w:numId w:val="3"/>
              </w:numPr>
              <w:shd w:val="clear" w:color="auto" w:fill="auto"/>
              <w:spacing w:line="360" w:lineRule="auto"/>
              <w:ind w:left="320" w:leftChars="0" w:firstLine="0" w:firstLineChars="0"/>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按本表费率计算的收费为招标代理服务全过程的收费基准价格，单独提供编制招标文件（有标底的含标底）服务的，可按规定标准的30％计收。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2、招标代理服务收费按差额定率累进法计算。例如：某工程招标代理业务中标金额为6000万元，计算招标代理服务费额如下：</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100万元×1.0％＝1万元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（500－100）万元×0.7％＝2.8万元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（1000－500）万元×0.55％＝2.75万元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（5000－1000）万元×0.35％＝14万元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（6000－5000）万元×0.2％＝2万元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合计收费＝1＋2.8＋2.75＋14＋2＝22.55(万元)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25</w:t>
            </w:r>
          </w:p>
        </w:tc>
        <w:tc>
          <w:tcPr>
            <w:tcW w:w="9620" w:type="dxa"/>
            <w:gridSpan w:val="2"/>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评标办法：本项目采用综合评分法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26</w:t>
            </w:r>
          </w:p>
        </w:tc>
        <w:tc>
          <w:tcPr>
            <w:tcW w:w="9620" w:type="dxa"/>
            <w:gridSpan w:val="2"/>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不管投标结果如何，投标人均应承担自己投标所需一切费用。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27</w:t>
            </w:r>
          </w:p>
        </w:tc>
        <w:tc>
          <w:tcPr>
            <w:tcW w:w="9620" w:type="dxa"/>
            <w:gridSpan w:val="2"/>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本次招标预算价：1包：5567400元；2包：4686300元；3包：4624100元；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4包：4710000元。（投标报价超过采购预算价的按废标处理）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8" w:hRule="atLeast"/>
          <w:jc w:val="center"/>
        </w:trPr>
        <w:tc>
          <w:tcPr>
            <w:tcW w:w="536"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28</w:t>
            </w:r>
          </w:p>
        </w:tc>
        <w:tc>
          <w:tcPr>
            <w:tcW w:w="1720"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rPr>
              <w:t>中小微企业政策文件</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rPr>
              <w:t>（1）根据财政部、工业和信息化部关于印发《政府采购促进中小企业发展</w:t>
            </w:r>
            <w:r>
              <w:rPr>
                <w:rFonts w:hint="eastAsia" w:ascii="仿宋" w:hAnsi="仿宋" w:eastAsia="仿宋" w:cs="仿宋"/>
                <w:b w:val="0"/>
                <w:bCs w:val="0"/>
                <w:color w:val="auto"/>
                <w:sz w:val="24"/>
                <w:szCs w:val="24"/>
                <w:highlight w:val="none"/>
                <w:lang w:eastAsia="zh-CN"/>
              </w:rPr>
              <w:t>管理</w:t>
            </w:r>
            <w:r>
              <w:rPr>
                <w:rFonts w:hint="eastAsia" w:ascii="仿宋" w:hAnsi="仿宋" w:eastAsia="仿宋" w:cs="仿宋"/>
                <w:b w:val="0"/>
                <w:bCs w:val="0"/>
                <w:color w:val="auto"/>
                <w:sz w:val="24"/>
                <w:szCs w:val="24"/>
                <w:highlight w:val="none"/>
              </w:rPr>
              <w:t>办法》的通知（财库[20</w:t>
            </w:r>
            <w:r>
              <w:rPr>
                <w:rFonts w:hint="eastAsia" w:ascii="仿宋" w:hAnsi="仿宋" w:eastAsia="仿宋" w:cs="仿宋"/>
                <w:b w:val="0"/>
                <w:bCs w:val="0"/>
                <w:color w:val="auto"/>
                <w:sz w:val="24"/>
                <w:szCs w:val="24"/>
                <w:highlight w:val="none"/>
                <w:lang w:val="en-US" w:eastAsia="zh-CN"/>
              </w:rPr>
              <w:t>20</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46</w:t>
            </w:r>
            <w:r>
              <w:rPr>
                <w:rFonts w:hint="eastAsia" w:ascii="仿宋" w:hAnsi="仿宋" w:eastAsia="仿宋" w:cs="仿宋"/>
                <w:b w:val="0"/>
                <w:bCs w:val="0"/>
                <w:color w:val="auto"/>
                <w:sz w:val="24"/>
                <w:szCs w:val="24"/>
                <w:highlight w:val="none"/>
              </w:rPr>
              <w:t>号）</w:t>
            </w:r>
            <w:r>
              <w:rPr>
                <w:rFonts w:hint="eastAsia" w:ascii="仿宋" w:hAnsi="仿宋" w:eastAsia="仿宋" w:cs="仿宋"/>
                <w:b w:val="0"/>
                <w:bCs w:val="0"/>
                <w:color w:val="auto"/>
                <w:sz w:val="24"/>
                <w:szCs w:val="24"/>
                <w:highlight w:val="none"/>
                <w:lang w:eastAsia="zh-CN"/>
              </w:rPr>
              <w:t>及（财库</w:t>
            </w:r>
            <w:r>
              <w:rPr>
                <w:rFonts w:hint="eastAsia" w:ascii="仿宋" w:hAnsi="仿宋" w:eastAsia="仿宋" w:cs="仿宋"/>
                <w:b w:val="0"/>
                <w:bCs w:val="0"/>
                <w:color w:val="auto"/>
                <w:sz w:val="24"/>
                <w:szCs w:val="24"/>
                <w:highlight w:val="none"/>
              </w:rPr>
              <w:t>[20</w:t>
            </w:r>
            <w:r>
              <w:rPr>
                <w:rFonts w:hint="eastAsia" w:ascii="仿宋" w:hAnsi="仿宋" w:eastAsia="仿宋" w:cs="仿宋"/>
                <w:b w:val="0"/>
                <w:bCs w:val="0"/>
                <w:color w:val="auto"/>
                <w:sz w:val="24"/>
                <w:szCs w:val="24"/>
                <w:highlight w:val="none"/>
                <w:lang w:val="en-US" w:eastAsia="zh-CN"/>
              </w:rPr>
              <w:t>22</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19号</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，投标人及其所投产品的制造商均属于《工业和信息化部、国家统计局、国家发展和改革委员会、财政部关于印发中小企业划型标准规定的通知》（工信部联企业[2011]300号）中规定的</w:t>
            </w:r>
            <w:r>
              <w:rPr>
                <w:rFonts w:hint="eastAsia" w:ascii="仿宋" w:hAnsi="仿宋" w:eastAsia="仿宋" w:cs="仿宋"/>
                <w:b w:val="0"/>
                <w:bCs w:val="0"/>
                <w:color w:val="auto"/>
                <w:sz w:val="24"/>
                <w:szCs w:val="24"/>
                <w:highlight w:val="none"/>
                <w:lang w:eastAsia="zh-CN"/>
              </w:rPr>
              <w:t>中型、</w:t>
            </w:r>
            <w:r>
              <w:rPr>
                <w:rFonts w:hint="eastAsia" w:ascii="仿宋" w:hAnsi="仿宋" w:eastAsia="仿宋" w:cs="仿宋"/>
                <w:b w:val="0"/>
                <w:bCs w:val="0"/>
                <w:color w:val="auto"/>
                <w:sz w:val="24"/>
                <w:szCs w:val="24"/>
                <w:highlight w:val="none"/>
              </w:rPr>
              <w:t>小型、微型企业标准的，按招标文件格式提供《中小企业声明函》。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continue"/>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vMerge w:val="continue"/>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rPr>
              <w:t>（2）根据财政部、司令部《关于政府采购支持监狱企业发展有关问题》的通知财库[2014]68号，监狱企业参加本项目投标时，应当提供由省级以上监狱管理局、戒毒管理局（新疆生产建设兵团）出具的属于监狱企业的证明文件。监狱企业视同小型、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continue"/>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vMerge w:val="continue"/>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3）根据财政部、民政部、中国残疾人联合会《关于促进残疾人就业政府采购政策的通知》（财库[2017]141号），在政府采购活动中，残疾人福利性单位视同小型、微型企业。投标人属于残疾人福利性单位的，按照招标文件格式提供残疾人福利性单位声明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29</w:t>
            </w:r>
          </w:p>
        </w:tc>
        <w:tc>
          <w:tcPr>
            <w:tcW w:w="1720"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中小微企业政策文件说明</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（1）支持中小企业发展：给予小型和微型企业产品的价格</w:t>
            </w:r>
            <w:r>
              <w:rPr>
                <w:rFonts w:hint="eastAsia" w:ascii="仿宋" w:hAnsi="仿宋" w:eastAsia="仿宋" w:cs="仿宋"/>
                <w:b w:val="0"/>
                <w:bCs w:val="0"/>
                <w:color w:val="auto"/>
                <w:sz w:val="24"/>
                <w:szCs w:val="24"/>
                <w:highlight w:val="none"/>
                <w:lang w:val="en-US" w:eastAsia="zh-CN"/>
              </w:rPr>
              <w:t>10</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20</w:t>
            </w:r>
            <w:r>
              <w:rPr>
                <w:rFonts w:hint="eastAsia" w:ascii="仿宋" w:hAnsi="仿宋" w:eastAsia="仿宋" w:cs="仿宋"/>
                <w:b w:val="0"/>
                <w:bCs w:val="0"/>
                <w:color w:val="auto"/>
                <w:sz w:val="24"/>
                <w:szCs w:val="24"/>
                <w:highlight w:val="none"/>
              </w:rPr>
              <w:t>%的扣除，用扣除后的价格参与评审，本项目具体扣除比例为</w:t>
            </w:r>
            <w:r>
              <w:rPr>
                <w:rFonts w:hint="eastAsia" w:ascii="仿宋" w:hAnsi="仿宋" w:eastAsia="仿宋" w:cs="仿宋"/>
                <w:b w:val="0"/>
                <w:bCs w:val="0"/>
                <w:color w:val="auto"/>
                <w:sz w:val="24"/>
                <w:szCs w:val="24"/>
                <w:highlight w:val="none"/>
                <w:lang w:val="en-US" w:eastAsia="zh-CN"/>
              </w:rPr>
              <w:t>10</w:t>
            </w:r>
            <w:r>
              <w:rPr>
                <w:rFonts w:hint="eastAsia" w:ascii="仿宋" w:hAnsi="仿宋" w:eastAsia="仿宋" w:cs="仿宋"/>
                <w:b w:val="0"/>
                <w:bCs w:val="0"/>
                <w:color w:val="auto"/>
                <w:sz w:val="24"/>
                <w:szCs w:val="24"/>
                <w:highlight w:val="none"/>
              </w:rPr>
              <w:t>%。用扣除后的价格参与评审。残疾人福利性单位视同小型、微型企业，享受同等价格扣除，但同时属于残疾人福利性单位和小微企业的，不重复价格扣除。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continue"/>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vMerge w:val="continue"/>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（2）不符合上述适用情形的投标人无需提供上述声明函件。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shd w:val="clear" w:color="auto" w:fill="auto"/>
              <w:spacing w:line="360" w:lineRule="auto"/>
              <w:jc w:val="left"/>
              <w:outlineLvl w:val="9"/>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eastAsia="zh-CN"/>
              </w:rPr>
              <w:t>）本项目</w:t>
            </w:r>
            <w:r>
              <w:rPr>
                <w:rFonts w:hint="eastAsia" w:ascii="仿宋" w:hAnsi="仿宋" w:eastAsia="仿宋" w:cs="仿宋"/>
                <w:b w:val="0"/>
                <w:bCs w:val="0"/>
                <w:color w:val="auto"/>
                <w:sz w:val="24"/>
                <w:szCs w:val="24"/>
                <w:highlight w:val="none"/>
                <w:lang w:val="en-US" w:eastAsia="zh-CN"/>
              </w:rPr>
              <w:t>为非专门面向中小企业采购，按照相关要求给予价格扣除比例为10%。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lang w:eastAsia="zh-CN"/>
              </w:rPr>
              <w:t>）本项目</w:t>
            </w:r>
            <w:r>
              <w:rPr>
                <w:rFonts w:hint="eastAsia" w:ascii="仿宋" w:hAnsi="仿宋" w:eastAsia="仿宋" w:cs="仿宋"/>
                <w:b w:val="0"/>
                <w:bCs w:val="0"/>
                <w:color w:val="auto"/>
                <w:sz w:val="24"/>
                <w:szCs w:val="24"/>
                <w:highlight w:val="none"/>
                <w:lang w:val="en-US" w:eastAsia="zh-CN"/>
              </w:rPr>
              <w:t>1-4</w:t>
            </w:r>
            <w:r>
              <w:rPr>
                <w:rFonts w:hint="eastAsia" w:ascii="仿宋" w:hAnsi="仿宋" w:eastAsia="仿宋" w:cs="仿宋"/>
                <w:b w:val="0"/>
                <w:bCs w:val="0"/>
                <w:color w:val="auto"/>
                <w:sz w:val="24"/>
                <w:szCs w:val="24"/>
                <w:highlight w:val="none"/>
                <w:lang w:eastAsia="zh-CN"/>
              </w:rPr>
              <w:t>包：医疗设备</w:t>
            </w:r>
            <w:r>
              <w:rPr>
                <w:rFonts w:hint="eastAsia" w:ascii="仿宋" w:hAnsi="仿宋" w:eastAsia="仿宋" w:cs="仿宋"/>
                <w:color w:val="auto"/>
                <w:kern w:val="0"/>
                <w:sz w:val="24"/>
                <w:szCs w:val="24"/>
                <w:highlight w:val="none"/>
              </w:rPr>
              <w:t>属于</w:t>
            </w:r>
            <w:r>
              <w:rPr>
                <w:rFonts w:hint="eastAsia" w:ascii="仿宋" w:hAnsi="仿宋" w:eastAsia="仿宋" w:cs="仿宋"/>
                <w:color w:val="auto"/>
                <w:kern w:val="0"/>
                <w:sz w:val="24"/>
                <w:szCs w:val="24"/>
                <w:highlight w:val="none"/>
                <w:lang w:eastAsia="zh-CN"/>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30</w:t>
            </w:r>
          </w:p>
        </w:tc>
        <w:tc>
          <w:tcPr>
            <w:tcW w:w="1720" w:type="dxa"/>
            <w:noWrap w:val="0"/>
            <w:vAlign w:val="center"/>
          </w:tcPr>
          <w:p>
            <w:pPr>
              <w:shd w:val="clear" w:color="auto" w:fill="auto"/>
              <w:spacing w:line="360" w:lineRule="auto"/>
              <w:ind w:firstLine="240" w:firstLineChars="100"/>
              <w:jc w:val="both"/>
              <w:outlineLvl w:val="9"/>
              <w:rPr>
                <w:rFonts w:hint="eastAsia" w:ascii="仿宋" w:hAnsi="仿宋" w:eastAsia="仿宋" w:cs="仿宋"/>
                <w:b w:val="0"/>
                <w:bCs w:val="0"/>
                <w:color w:val="auto"/>
                <w:sz w:val="24"/>
                <w:szCs w:val="24"/>
                <w:highlight w:val="none"/>
              </w:rPr>
            </w:pPr>
          </w:p>
          <w:p>
            <w:pPr>
              <w:shd w:val="clear" w:color="auto" w:fill="auto"/>
              <w:spacing w:line="360" w:lineRule="auto"/>
              <w:jc w:val="both"/>
              <w:outlineLvl w:val="9"/>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rPr>
              <w:t>履约保证金</w:t>
            </w:r>
          </w:p>
          <w:p>
            <w:pPr>
              <w:shd w:val="clear" w:color="auto" w:fill="auto"/>
              <w:spacing w:line="360" w:lineRule="auto"/>
              <w:jc w:val="both"/>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val="zh-CN"/>
              </w:rPr>
              <w:t>成交人</w:t>
            </w:r>
            <w:r>
              <w:rPr>
                <w:rFonts w:hint="eastAsia" w:ascii="仿宋" w:hAnsi="仿宋" w:eastAsia="仿宋" w:cs="仿宋"/>
                <w:b w:val="0"/>
                <w:bCs w:val="0"/>
                <w:color w:val="auto"/>
                <w:sz w:val="24"/>
                <w:szCs w:val="24"/>
                <w:highlight w:val="none"/>
              </w:rPr>
              <w:t>应在领取《</w:t>
            </w:r>
            <w:r>
              <w:rPr>
                <w:rFonts w:hint="eastAsia" w:ascii="仿宋" w:hAnsi="仿宋" w:eastAsia="仿宋" w:cs="仿宋"/>
                <w:b w:val="0"/>
                <w:bCs w:val="0"/>
                <w:color w:val="auto"/>
                <w:sz w:val="24"/>
                <w:szCs w:val="24"/>
                <w:highlight w:val="none"/>
                <w:lang w:val="zh-CN"/>
              </w:rPr>
              <w:t>成交通知书</w:t>
            </w:r>
            <w:r>
              <w:rPr>
                <w:rFonts w:hint="eastAsia" w:ascii="仿宋" w:hAnsi="仿宋" w:eastAsia="仿宋" w:cs="仿宋"/>
                <w:b w:val="0"/>
                <w:bCs w:val="0"/>
                <w:color w:val="auto"/>
                <w:sz w:val="24"/>
                <w:szCs w:val="24"/>
                <w:highlight w:val="none"/>
              </w:rPr>
              <w:t>》后的十个日历日内，办理履约保证金，</w:t>
            </w:r>
            <w:r>
              <w:rPr>
                <w:rFonts w:hint="eastAsia" w:ascii="仿宋" w:hAnsi="仿宋" w:eastAsia="仿宋" w:cs="仿宋"/>
                <w:b w:val="0"/>
                <w:bCs w:val="0"/>
                <w:color w:val="auto"/>
                <w:sz w:val="24"/>
                <w:szCs w:val="24"/>
                <w:highlight w:val="none"/>
                <w:lang w:val="zh-CN"/>
              </w:rPr>
              <w:t>金额不超过合同总价的10%，</w:t>
            </w:r>
            <w:r>
              <w:rPr>
                <w:rFonts w:hint="eastAsia" w:ascii="仿宋" w:hAnsi="仿宋" w:eastAsia="仿宋" w:cs="仿宋"/>
                <w:b w:val="0"/>
                <w:bCs w:val="0"/>
                <w:color w:val="auto"/>
                <w:sz w:val="24"/>
                <w:szCs w:val="24"/>
                <w:highlight w:val="none"/>
              </w:rPr>
              <w:t>否则招标人可取消</w:t>
            </w:r>
            <w:r>
              <w:rPr>
                <w:rFonts w:hint="eastAsia" w:ascii="仿宋" w:hAnsi="仿宋" w:eastAsia="仿宋" w:cs="仿宋"/>
                <w:b w:val="0"/>
                <w:bCs w:val="0"/>
                <w:color w:val="auto"/>
                <w:sz w:val="24"/>
                <w:szCs w:val="24"/>
                <w:highlight w:val="none"/>
                <w:lang w:val="zh-CN"/>
              </w:rPr>
              <w:t>成交人</w:t>
            </w:r>
            <w:r>
              <w:rPr>
                <w:rFonts w:hint="eastAsia" w:ascii="仿宋" w:hAnsi="仿宋" w:eastAsia="仿宋" w:cs="仿宋"/>
                <w:b w:val="0"/>
                <w:bCs w:val="0"/>
                <w:color w:val="auto"/>
                <w:sz w:val="24"/>
                <w:szCs w:val="24"/>
                <w:highlight w:val="none"/>
              </w:rPr>
              <w:t>的</w:t>
            </w:r>
            <w:r>
              <w:rPr>
                <w:rFonts w:hint="eastAsia" w:ascii="仿宋" w:hAnsi="仿宋" w:eastAsia="仿宋" w:cs="仿宋"/>
                <w:b w:val="0"/>
                <w:bCs w:val="0"/>
                <w:color w:val="auto"/>
                <w:sz w:val="24"/>
                <w:szCs w:val="24"/>
                <w:highlight w:val="none"/>
                <w:lang w:val="zh-CN"/>
              </w:rPr>
              <w:t>成交</w:t>
            </w:r>
            <w:r>
              <w:rPr>
                <w:rFonts w:hint="eastAsia" w:ascii="仿宋" w:hAnsi="仿宋" w:eastAsia="仿宋" w:cs="仿宋"/>
                <w:b w:val="0"/>
                <w:bCs w:val="0"/>
                <w:color w:val="auto"/>
                <w:sz w:val="24"/>
                <w:szCs w:val="24"/>
                <w:highlight w:val="none"/>
              </w:rPr>
              <w:t>资格，并没收其投标保证金</w:t>
            </w:r>
            <w:r>
              <w:rPr>
                <w:rFonts w:hint="eastAsia" w:ascii="仿宋" w:hAnsi="仿宋" w:eastAsia="仿宋" w:cs="仿宋"/>
                <w:b w:val="0"/>
                <w:bCs w:val="0"/>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256" w:type="dxa"/>
            <w:gridSpan w:val="2"/>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bCs/>
                <w:color w:val="auto"/>
                <w:sz w:val="24"/>
                <w:szCs w:val="24"/>
                <w:highlight w:val="none"/>
              </w:rPr>
              <w:t>备注</w:t>
            </w:r>
          </w:p>
        </w:tc>
        <w:tc>
          <w:tcPr>
            <w:tcW w:w="7900" w:type="dxa"/>
            <w:noWrap w:val="0"/>
            <w:vAlign w:val="center"/>
          </w:tcPr>
          <w:p>
            <w:pPr>
              <w:pageBreakBefore w:val="0"/>
              <w:widowControl w:val="0"/>
              <w:numPr>
                <w:ilvl w:val="0"/>
                <w:numId w:val="0"/>
              </w:numPr>
              <w:kinsoku/>
              <w:wordWrap/>
              <w:overflowPunct/>
              <w:topLinePunct w:val="0"/>
              <w:autoSpaceDE/>
              <w:autoSpaceDN/>
              <w:bidi w:val="0"/>
              <w:adjustRightInd/>
              <w:snapToGrid/>
              <w:spacing w:line="400" w:lineRule="exact"/>
              <w:ind w:leftChars="0" w:right="0" w:rightChars="0"/>
              <w:textAlignment w:val="auto"/>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rPr>
              <w:t>着重提醒各投标人注意，并认真查看招标文件中的每一个条款及要求，因误读招标文件而造成的后果，招标人概不负责。</w:t>
            </w:r>
          </w:p>
          <w:p>
            <w:pPr>
              <w:spacing w:line="360" w:lineRule="auto"/>
              <w:outlineLvl w:val="9"/>
              <w:rPr>
                <w:rFonts w:hint="eastAsia" w:ascii="仿宋" w:hAnsi="仿宋" w:eastAsia="仿宋" w:cs="仿宋"/>
                <w:b w:val="0"/>
                <w:bCs w:val="0"/>
                <w:color w:val="auto"/>
                <w:spacing w:val="0"/>
                <w:w w:val="100"/>
                <w:position w:val="0"/>
                <w:sz w:val="24"/>
                <w:szCs w:val="24"/>
                <w:highlight w:val="none"/>
                <w:shd w:val="clear" w:color="auto" w:fill="auto"/>
                <w:lang w:val="en-US" w:eastAsia="zh-CN" w:bidi="en-US"/>
              </w:rPr>
            </w:pPr>
            <w:r>
              <w:rPr>
                <w:rFonts w:hint="eastAsia" w:ascii="仿宋" w:hAnsi="仿宋" w:eastAsia="仿宋" w:cs="仿宋"/>
                <w:b w:val="0"/>
                <w:bCs w:val="0"/>
                <w:color w:val="auto"/>
                <w:spacing w:val="0"/>
                <w:w w:val="100"/>
                <w:position w:val="0"/>
                <w:sz w:val="24"/>
                <w:szCs w:val="24"/>
                <w:highlight w:val="none"/>
                <w:shd w:val="clear" w:color="auto" w:fill="auto"/>
                <w:lang w:val="en-US" w:eastAsia="zh-CN" w:bidi="en-US"/>
              </w:rPr>
              <w:t>2、投标人使用相同IP地址的，一经发现，相关部门将进一步核实，查实后按串通投标处理。</w:t>
            </w:r>
          </w:p>
          <w:p>
            <w:pPr>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为保证本项目质量，良好的售后服务，最低报价不作为中标的唯一依据。</w:t>
            </w:r>
          </w:p>
          <w:p>
            <w:pPr>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采购人若发现成交候选供应商在投标过程中提供虚假证明文件，故意隐瞒公司不良信誉和财务状况，以及其他可能对合同圆满履行造成风险的因素等，则按规定取消其成交资格，监管部门依法进行处理。</w:t>
            </w:r>
          </w:p>
          <w:p>
            <w:pPr>
              <w:spacing w:line="360" w:lineRule="auto"/>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5、</w:t>
            </w:r>
            <w:r>
              <w:rPr>
                <w:rFonts w:hint="eastAsia" w:ascii="仿宋" w:hAnsi="仿宋" w:eastAsia="仿宋" w:cs="仿宋"/>
                <w:b w:val="0"/>
                <w:bCs w:val="0"/>
                <w:color w:val="auto"/>
                <w:sz w:val="24"/>
                <w:szCs w:val="24"/>
                <w:highlight w:val="none"/>
              </w:rPr>
              <w:t>其它：</w:t>
            </w:r>
          </w:p>
          <w:p>
            <w:pPr>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（1）投标企业严格遵守国家的法律法规及招标纪律，无违法违纪及商业贿赂行为。</w:t>
            </w:r>
          </w:p>
          <w:p>
            <w:pPr>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（2）不管投标结果如何，供应商均应自行承担投标所需一切费用。</w:t>
            </w:r>
          </w:p>
          <w:p>
            <w:pPr>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（3）供应商应以书面形式保证中标后由本公司组织实施，不得以任何理由将项目转包给其他机构。</w:t>
            </w:r>
          </w:p>
          <w:p>
            <w:pPr>
              <w:shd w:val="clear" w:color="auto" w:fill="auto"/>
              <w:spacing w:line="360" w:lineRule="auto"/>
              <w:jc w:val="left"/>
              <w:outlineLvl w:val="9"/>
              <w:rPr>
                <w:rFonts w:hint="eastAsia" w:ascii="仿宋" w:hAnsi="仿宋" w:eastAsia="仿宋" w:cs="仿宋"/>
                <w:b w:val="0"/>
                <w:bCs w:val="0"/>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中如出现前后不一致情况，均以前附表内容为准。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256" w:type="dxa"/>
            <w:gridSpan w:val="2"/>
            <w:vMerge w:val="continue"/>
            <w:noWrap w:val="0"/>
            <w:vAlign w:val="center"/>
          </w:tcPr>
          <w:p>
            <w:pPr>
              <w:shd w:val="clear" w:color="auto" w:fill="auto"/>
              <w:spacing w:line="360" w:lineRule="auto"/>
              <w:jc w:val="center"/>
              <w:outlineLvl w:val="9"/>
              <w:rPr>
                <w:rFonts w:hint="eastAsia" w:ascii="仿宋" w:hAnsi="仿宋" w:eastAsia="仿宋" w:cs="仿宋"/>
                <w:b/>
                <w:bCs/>
                <w:color w:val="auto"/>
                <w:sz w:val="24"/>
                <w:szCs w:val="24"/>
                <w:highlight w:val="none"/>
              </w:rPr>
            </w:pPr>
          </w:p>
        </w:tc>
        <w:tc>
          <w:tcPr>
            <w:tcW w:w="7900" w:type="dxa"/>
            <w:noWrap w:val="0"/>
            <w:vAlign w:val="center"/>
          </w:tcPr>
          <w:p>
            <w:pPr>
              <w:shd w:val="clear" w:color="auto" w:fill="auto"/>
              <w:spacing w:line="360" w:lineRule="auto"/>
              <w:jc w:val="left"/>
              <w:outlineLvl w:val="9"/>
              <w:rPr>
                <w:rFonts w:hint="eastAsia" w:ascii="仿宋" w:hAnsi="仿宋" w:eastAsia="仿宋" w:cs="仿宋"/>
                <w:color w:val="auto"/>
                <w:sz w:val="24"/>
                <w:szCs w:val="24"/>
                <w:highlight w:val="none"/>
                <w:lang w:eastAsia="zh-CN"/>
              </w:rPr>
            </w:pPr>
            <w:r>
              <w:rPr>
                <w:rFonts w:hint="eastAsia" w:ascii="仿宋" w:hAnsi="仿宋" w:eastAsia="仿宋" w:cs="仿宋"/>
                <w:b/>
                <w:bCs/>
                <w:color w:val="auto"/>
                <w:sz w:val="24"/>
                <w:szCs w:val="24"/>
                <w:highlight w:val="none"/>
                <w:lang w:eastAsia="zh-CN"/>
              </w:rPr>
              <w:t>投标供应商须按照对应的包号参加投标，即按包号进行投标。</w:t>
            </w:r>
          </w:p>
        </w:tc>
      </w:tr>
    </w:tbl>
    <w:p>
      <w:pPr>
        <w:pageBreakBefore/>
        <w:shd w:val="clear" w:color="auto" w:fill="auto"/>
        <w:spacing w:before="312" w:beforeLines="100" w:after="312" w:afterLines="100" w:line="440" w:lineRule="exact"/>
        <w:jc w:val="center"/>
        <w:outlineLvl w:val="9"/>
        <w:rPr>
          <w:rFonts w:hint="eastAsia" w:ascii="仿宋" w:hAnsi="仿宋" w:eastAsia="仿宋" w:cs="仿宋"/>
          <w:b/>
          <w:color w:val="auto"/>
          <w:sz w:val="28"/>
          <w:szCs w:val="32"/>
          <w:highlight w:val="none"/>
        </w:rPr>
      </w:pPr>
      <w:r>
        <w:rPr>
          <w:rFonts w:hint="eastAsia" w:ascii="仿宋" w:hAnsi="仿宋" w:eastAsia="仿宋" w:cs="仿宋"/>
          <w:b/>
          <w:color w:val="auto"/>
          <w:sz w:val="28"/>
          <w:szCs w:val="28"/>
          <w:highlight w:val="none"/>
        </w:rPr>
        <w:t>二、投标人须知</w:t>
      </w:r>
    </w:p>
    <w:p>
      <w:pPr>
        <w:shd w:val="clear" w:color="auto" w:fill="auto"/>
        <w:spacing w:line="440" w:lineRule="exact"/>
        <w:jc w:val="center"/>
        <w:outlineLvl w:val="9"/>
        <w:rPr>
          <w:rFonts w:hint="eastAsia" w:ascii="仿宋" w:hAnsi="仿宋" w:eastAsia="仿宋" w:cs="仿宋"/>
          <w:color w:val="auto"/>
          <w:sz w:val="28"/>
          <w:szCs w:val="28"/>
          <w:highlight w:val="none"/>
        </w:rPr>
      </w:pPr>
      <w:bookmarkStart w:id="8" w:name="_Toc469495724"/>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32"/>
          <w:highlight w:val="none"/>
        </w:rPr>
        <w:t>总  则</w:t>
      </w:r>
      <w:bookmarkEnd w:id="8"/>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1.项目概况</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1.1本次招标采购项目名称：见投标人须知前附表。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项目编号：见投标人须知前附表。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招标人：见投标人须知前附表。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供货期：见投标人须知前附表。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交</w:t>
      </w:r>
      <w:r>
        <w:rPr>
          <w:rFonts w:hint="eastAsia" w:ascii="仿宋" w:hAnsi="仿宋" w:eastAsia="仿宋" w:cs="仿宋"/>
          <w:color w:val="auto"/>
          <w:szCs w:val="21"/>
          <w:highlight w:val="none"/>
        </w:rPr>
        <w:t>货地点：见投标人须知前附表。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1.2招标人及联系人: 见投标人须知前附表。</w:t>
      </w:r>
    </w:p>
    <w:p>
      <w:pPr>
        <w:shd w:val="clear" w:color="auto" w:fill="auto"/>
        <w:snapToGrid w:val="0"/>
        <w:spacing w:line="440" w:lineRule="exact"/>
        <w:ind w:firstLine="600" w:firstLineChars="25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代理机构及联系人: 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1.3资金来源：见投标人须知前附表。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1.4本项目预算：见投标人须知前附表。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1.5本项目控制价：见投标人须知前附表。</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2.招标范围：</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2.1 采购内容：见投标人须知前附表。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 技术要求：详见</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第四章采购内容及技术要求。</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3.标包划分：</w:t>
      </w:r>
    </w:p>
    <w:p>
      <w:pPr>
        <w:shd w:val="clear" w:color="auto" w:fill="auto"/>
        <w:snapToGrid w:val="0"/>
        <w:spacing w:line="440" w:lineRule="exact"/>
        <w:ind w:firstLine="480" w:firstLineChars="200"/>
        <w:jc w:val="lef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3.1本项目划分：</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4</w:t>
      </w:r>
      <w:r>
        <w:rPr>
          <w:rFonts w:hint="eastAsia" w:ascii="仿宋" w:hAnsi="仿宋" w:eastAsia="仿宋" w:cs="仿宋"/>
          <w:color w:val="auto"/>
          <w:szCs w:val="21"/>
          <w:highlight w:val="none"/>
        </w:rPr>
        <w:t>个包</w:t>
      </w:r>
      <w:r>
        <w:rPr>
          <w:rFonts w:hint="eastAsia" w:ascii="仿宋" w:hAnsi="仿宋" w:eastAsia="仿宋" w:cs="仿宋"/>
          <w:color w:val="auto"/>
          <w:kern w:val="0"/>
          <w:szCs w:val="21"/>
          <w:highlight w:val="none"/>
        </w:rPr>
        <w:t>。</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4.招标方式：</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4.1本项目招标方式：见投标人须知前附表。</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5.计价方式：</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5.1本次招标项目合同采用</w:t>
      </w:r>
      <w:r>
        <w:rPr>
          <w:rFonts w:hint="eastAsia" w:ascii="仿宋" w:hAnsi="仿宋" w:eastAsia="仿宋" w:cs="仿宋"/>
          <w:color w:val="auto"/>
          <w:szCs w:val="21"/>
          <w:highlight w:val="none"/>
          <w:u w:val="single"/>
        </w:rPr>
        <w:t xml:space="preserve">   固定单价 。</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6.评标办法：</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6.1本次招标评标采用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综合评分</w:t>
      </w:r>
      <w:r>
        <w:rPr>
          <w:rFonts w:hint="eastAsia" w:ascii="仿宋" w:hAnsi="仿宋" w:eastAsia="仿宋" w:cs="仿宋"/>
          <w:color w:val="auto"/>
          <w:szCs w:val="21"/>
          <w:highlight w:val="none"/>
          <w:u w:val="single"/>
        </w:rPr>
        <w:t xml:space="preserve">法 </w:t>
      </w:r>
      <w:r>
        <w:rPr>
          <w:rFonts w:hint="eastAsia" w:ascii="仿宋" w:hAnsi="仿宋" w:eastAsia="仿宋" w:cs="仿宋"/>
          <w:color w:val="auto"/>
          <w:szCs w:val="21"/>
          <w:highlight w:val="none"/>
        </w:rPr>
        <w:t>（详见第三章评标办法）</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7.投标人资格：</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7.1参与采购活动的投标人必须是满足《中华人民共和国政府采购法》规定条件的法人、其他组织或者自然人：</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7.2由于政府采购项目的差异性，投标人在参与具体政府采购项目活动时，应仔细阅读该项目的资质要求,具体见投标人须知前附表。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7.4投标人必须确保自己在信息库中注册的信息真实、准确，并保证投标文件中的有关信息与库中的信息相一致。否则，投标人因此蒙受损失，招标人概不负责。</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8. 投标费用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8.1投标人准备和参加投标活动发生的费用自理。</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9.</w:t>
      </w:r>
      <w:bookmarkStart w:id="9" w:name="_Toc152045539"/>
      <w:bookmarkStart w:id="10" w:name="_Toc152042315"/>
      <w:bookmarkStart w:id="11" w:name="_Toc296602429"/>
      <w:bookmarkStart w:id="12" w:name="_Toc247592876"/>
      <w:bookmarkStart w:id="13" w:name="_Toc247527563"/>
      <w:bookmarkStart w:id="14" w:name="_Toc144974507"/>
      <w:bookmarkStart w:id="15" w:name="_Toc247513962"/>
      <w:r>
        <w:rPr>
          <w:rFonts w:hint="eastAsia" w:ascii="仿宋" w:hAnsi="仿宋" w:eastAsia="仿宋" w:cs="仿宋"/>
          <w:b/>
          <w:color w:val="auto"/>
          <w:szCs w:val="21"/>
          <w:highlight w:val="none"/>
        </w:rPr>
        <w:t xml:space="preserve"> 踏勘现场</w:t>
      </w:r>
      <w:bookmarkEnd w:id="9"/>
      <w:bookmarkEnd w:id="10"/>
      <w:bookmarkEnd w:id="11"/>
      <w:bookmarkEnd w:id="12"/>
      <w:bookmarkEnd w:id="13"/>
      <w:bookmarkEnd w:id="14"/>
      <w:bookmarkEnd w:id="15"/>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9.1 投标人须知前附表规定组织踏勘现场的，招标人按投标人须知前附表规定的时间、地点组织投标人踏勘项目现场。</w:t>
      </w:r>
      <w:r>
        <w:rPr>
          <w:rFonts w:hint="eastAsia" w:ascii="仿宋" w:hAnsi="仿宋" w:eastAsia="仿宋" w:cs="仿宋"/>
          <w:color w:val="auto"/>
          <w:szCs w:val="21"/>
          <w:highlight w:val="none"/>
          <w:lang w:eastAsia="zh-CN"/>
        </w:rPr>
        <w:t>如需踏勘现场，</w:t>
      </w:r>
      <w:r>
        <w:rPr>
          <w:rFonts w:hint="eastAsia" w:ascii="仿宋" w:hAnsi="仿宋" w:eastAsia="仿宋" w:cs="仿宋"/>
          <w:color w:val="auto"/>
          <w:highlight w:val="none"/>
          <w:lang w:eastAsia="zh-CN"/>
        </w:rPr>
        <w:t>投标人自行踏勘现场的，可咨询本项目采购人或采购代理机构联系人。</w:t>
      </w:r>
      <w:r>
        <w:rPr>
          <w:rFonts w:hint="eastAsia" w:ascii="仿宋" w:hAnsi="仿宋" w:eastAsia="仿宋" w:cs="仿宋"/>
          <w:b/>
          <w:bCs/>
          <w:color w:val="auto"/>
          <w:highlight w:val="none"/>
          <w:lang w:eastAsia="zh-CN"/>
        </w:rPr>
        <w:t>投标人自行踏勘现场的，可咨询本项目采购人或采购代理机构联系人。</w:t>
      </w:r>
      <w:r>
        <w:rPr>
          <w:rFonts w:hint="eastAsia" w:ascii="仿宋" w:hAnsi="仿宋" w:eastAsia="仿宋" w:cs="仿宋"/>
          <w:b/>
          <w:bCs/>
          <w:color w:val="auto"/>
          <w:szCs w:val="21"/>
          <w:highlight w:val="none"/>
        </w:rPr>
        <w:t xml:space="preserve"> </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9.2 投标人踏勘现场发生的费用自理。</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9.3 除招标人的原因外，投标人自行负责在踏勘现场中所发生的人员伤亡和财产损失。</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9.4 招标人在踏勘现场中介绍的场地和相关的周边环境情况，供投标人在编制投标文件时参考，招标人不对投标人据此作出的判断和决策负责。</w:t>
      </w:r>
      <w:bookmarkStart w:id="16" w:name="_Toc296602430"/>
      <w:bookmarkStart w:id="17" w:name="_Toc152042316"/>
      <w:bookmarkStart w:id="18" w:name="_Toc152045540"/>
      <w:bookmarkStart w:id="19" w:name="_Toc144974508"/>
      <w:bookmarkStart w:id="20" w:name="_Toc247527564"/>
      <w:bookmarkStart w:id="21" w:name="_Toc247592877"/>
      <w:bookmarkStart w:id="22" w:name="_Toc247513963"/>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10. 投标预备会</w:t>
      </w:r>
      <w:bookmarkEnd w:id="16"/>
      <w:bookmarkEnd w:id="17"/>
      <w:bookmarkEnd w:id="18"/>
      <w:bookmarkEnd w:id="19"/>
      <w:bookmarkEnd w:id="20"/>
      <w:bookmarkEnd w:id="21"/>
      <w:bookmarkEnd w:id="22"/>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10.1投标人须知前附表规定召开投标预备会的，招标人按投标人须知前附表规定的时间和地点召开投标预备会，澄清投标人提出的问题。</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10.2投标人应在投标人须知前附表规定的时间前，将提出的问题送达招标人，以便招标人澄清。</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10.3招标人在投标人须知前附表规定的时间，将对投标人所提的问题进行澄清。该澄清内容为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11. 联合投标</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pPr>
        <w:shd w:val="clear" w:color="auto" w:fill="auto"/>
        <w:spacing w:line="40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pPr>
        <w:shd w:val="clear" w:color="auto" w:fill="auto"/>
        <w:spacing w:line="400" w:lineRule="exact"/>
        <w:ind w:firstLine="470" w:firstLineChars="196"/>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 联合体应当确定其中一个单位为投标的全权代表，负责参加投标的一切事务，并承担投标及履约中应承担的全部责任与义务。</w:t>
      </w:r>
    </w:p>
    <w:p>
      <w:pPr>
        <w:pStyle w:val="11"/>
        <w:shd w:val="clear" w:color="auto" w:fill="auto"/>
        <w:spacing w:after="0" w:line="400" w:lineRule="exact"/>
        <w:ind w:left="0" w:leftChars="0" w:firstLine="484" w:firstLineChars="202"/>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11.4 联合体各方应当共同与招标人签订采购合同，就采购合同约定的事项对招标人承担连带责任。</w:t>
      </w:r>
    </w:p>
    <w:p>
      <w:pPr>
        <w:shd w:val="clear" w:color="auto" w:fill="auto"/>
        <w:spacing w:line="440" w:lineRule="exact"/>
        <w:ind w:firstLine="470" w:firstLineChars="196"/>
        <w:jc w:val="left"/>
        <w:outlineLvl w:val="9"/>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rPr>
        <w:t>12.招标代理费</w:t>
      </w:r>
      <w:r>
        <w:rPr>
          <w:rFonts w:hint="eastAsia" w:ascii="仿宋" w:hAnsi="仿宋" w:eastAsia="仿宋" w:cs="仿宋"/>
          <w:b/>
          <w:color w:val="auto"/>
          <w:szCs w:val="21"/>
          <w:highlight w:val="none"/>
          <w:lang w:eastAsia="zh-CN"/>
        </w:rPr>
        <w:t>：参照投标人须知前附表</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13.投标人应注意的事项</w:t>
      </w:r>
    </w:p>
    <w:p>
      <w:pPr>
        <w:shd w:val="clear" w:color="auto" w:fill="auto"/>
        <w:spacing w:line="440" w:lineRule="exact"/>
        <w:ind w:firstLine="480" w:firstLineChars="200"/>
        <w:outlineLvl w:val="9"/>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13.1投标人一旦按规定缴纳了投标保证金并参加投标，即被认为接受了本</w:t>
      </w:r>
      <w:r>
        <w:rPr>
          <w:rFonts w:hint="eastAsia" w:ascii="仿宋" w:hAnsi="仿宋" w:eastAsia="仿宋" w:cs="仿宋"/>
          <w:color w:val="auto"/>
          <w:szCs w:val="21"/>
          <w:highlight w:val="none"/>
          <w:lang w:eastAsia="zh-CN"/>
        </w:rPr>
        <w:t>采购</w:t>
      </w:r>
      <w:r>
        <w:rPr>
          <w:rFonts w:hint="eastAsia" w:ascii="仿宋" w:hAnsi="仿宋" w:eastAsia="仿宋" w:cs="仿宋"/>
          <w:color w:val="auto"/>
          <w:szCs w:val="21"/>
          <w:highlight w:val="none"/>
        </w:rPr>
        <w:t>文件中的所有条件和规定。投标人必须严格按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的要求编制投标文件，投标文件宜编制页码和目录，以便评委审核。否则，由此产生的一切后果由投标人承担。</w:t>
      </w:r>
    </w:p>
    <w:p>
      <w:pPr>
        <w:shd w:val="clear" w:color="auto" w:fill="auto"/>
        <w:spacing w:line="440" w:lineRule="exact"/>
        <w:ind w:firstLine="480" w:firstLineChars="20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2</w:t>
      </w:r>
      <w:r>
        <w:rPr>
          <w:rFonts w:hint="eastAsia" w:ascii="仿宋" w:hAnsi="仿宋" w:eastAsia="仿宋" w:cs="仿宋"/>
          <w:bCs/>
          <w:color w:val="auto"/>
          <w:szCs w:val="21"/>
          <w:highlight w:val="none"/>
        </w:rPr>
        <w:t xml:space="preserve"> 投标人对采购内容中规定的技术参数、规格等要求必须完全响应或优于</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中的要求。</w:t>
      </w:r>
    </w:p>
    <w:p>
      <w:pPr>
        <w:shd w:val="clear" w:color="auto" w:fill="auto"/>
        <w:spacing w:line="440" w:lineRule="exact"/>
        <w:ind w:firstLine="470" w:firstLineChars="196"/>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所有投标人的投标保证金都应在</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规定的投标保证金缴纳截止日期前缴纳。</w:t>
      </w:r>
    </w:p>
    <w:p>
      <w:pPr>
        <w:shd w:val="clear" w:color="auto" w:fill="auto"/>
        <w:spacing w:line="440" w:lineRule="exact"/>
        <w:ind w:firstLine="470" w:firstLineChars="196"/>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单位负责人为同一人或者存在直接控股、管理关系的不同供应商，不得参加同一合同项下的政府采购活动。</w:t>
      </w:r>
      <w:r>
        <w:rPr>
          <w:rFonts w:hint="eastAsia" w:ascii="仿宋" w:hAnsi="仿宋" w:eastAsia="仿宋" w:cs="仿宋"/>
          <w:color w:val="auto"/>
          <w:szCs w:val="21"/>
          <w:highlight w:val="none"/>
        </w:rPr>
        <w:t>为采购项目提供整体设计、规范编制或者项目管理、监理、检测等服务的供应商，不得再参加该采购项目的其他采购活动。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5</w:t>
      </w:r>
      <w:r>
        <w:rPr>
          <w:rFonts w:hint="eastAsia" w:ascii="仿宋" w:hAnsi="仿宋" w:eastAsia="仿宋" w:cs="仿宋"/>
          <w:bCs/>
          <w:color w:val="auto"/>
          <w:szCs w:val="21"/>
          <w:highlight w:val="none"/>
        </w:rPr>
        <w:t>本项目只接受</w:t>
      </w:r>
      <w:r>
        <w:rPr>
          <w:rFonts w:hint="eastAsia" w:ascii="仿宋" w:hAnsi="仿宋" w:eastAsia="仿宋" w:cs="仿宋"/>
          <w:color w:val="auto"/>
          <w:szCs w:val="21"/>
          <w:highlight w:val="none"/>
        </w:rPr>
        <w:t>成为新疆维吾尔自治区政府采购网正式注册入库并完成CA数字证书申领供应商</w:t>
      </w:r>
      <w:r>
        <w:rPr>
          <w:rFonts w:hint="eastAsia" w:ascii="仿宋" w:hAnsi="仿宋" w:eastAsia="仿宋" w:cs="仿宋"/>
          <w:color w:val="auto"/>
          <w:szCs w:val="21"/>
          <w:highlight w:val="none"/>
          <w:lang w:eastAsia="zh-CN"/>
        </w:rPr>
        <w:t>参与投标</w:t>
      </w:r>
      <w:r>
        <w:rPr>
          <w:rFonts w:hint="eastAsia" w:ascii="仿宋" w:hAnsi="仿宋" w:eastAsia="仿宋" w:cs="仿宋"/>
          <w:color w:val="auto"/>
          <w:szCs w:val="21"/>
          <w:highlight w:val="none"/>
        </w:rPr>
        <w:t>。因未注册入库、未办理CA数字证书等原因造成无法投标或投标失败等后果由供应商自行承担。</w:t>
      </w:r>
    </w:p>
    <w:p>
      <w:pPr>
        <w:shd w:val="clear" w:color="auto" w:fill="auto"/>
        <w:wordWrap w:val="0"/>
        <w:spacing w:line="440" w:lineRule="exact"/>
        <w:ind w:firstLine="480" w:firstLineChars="20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6</w:t>
      </w:r>
      <w:r>
        <w:rPr>
          <w:rFonts w:hint="eastAsia" w:ascii="仿宋" w:hAnsi="仿宋" w:eastAsia="仿宋" w:cs="仿宋"/>
          <w:bCs/>
          <w:color w:val="auto"/>
          <w:szCs w:val="21"/>
          <w:highlight w:val="none"/>
        </w:rPr>
        <w:t xml:space="preserve">  投标人被视为充分熟悉本招标项目所在地的与履行合同有关的各种情况，包括但不限于：</w:t>
      </w:r>
    </w:p>
    <w:p>
      <w:pPr>
        <w:shd w:val="clear" w:color="auto" w:fill="auto"/>
        <w:spacing w:line="400" w:lineRule="exact"/>
        <w:ind w:firstLine="360" w:firstLineChars="15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（1）国家对本次投标货物和服务的生产、安装调试、验收、维修等有关法律、法规及行业管理标准；</w:t>
      </w:r>
    </w:p>
    <w:p>
      <w:pPr>
        <w:shd w:val="clear" w:color="auto" w:fill="auto"/>
        <w:spacing w:line="400" w:lineRule="exact"/>
        <w:ind w:firstLine="360" w:firstLineChars="15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w:t>
      </w:r>
      <w:r>
        <w:rPr>
          <w:rFonts w:hint="eastAsia" w:ascii="仿宋" w:hAnsi="仿宋" w:eastAsia="仿宋" w:cs="仿宋"/>
          <w:bCs/>
          <w:color w:val="auto"/>
          <w:szCs w:val="21"/>
          <w:highlight w:val="none"/>
          <w:lang w:eastAsia="zh-CN"/>
        </w:rPr>
        <w:t>本地区</w:t>
      </w:r>
      <w:r>
        <w:rPr>
          <w:rFonts w:hint="eastAsia" w:ascii="仿宋" w:hAnsi="仿宋" w:eastAsia="仿宋" w:cs="仿宋"/>
          <w:bCs/>
          <w:color w:val="auto"/>
          <w:szCs w:val="21"/>
          <w:highlight w:val="none"/>
        </w:rPr>
        <w:t>有关管理部门的相关规定；</w:t>
      </w:r>
    </w:p>
    <w:p>
      <w:pPr>
        <w:shd w:val="clear" w:color="auto" w:fill="auto"/>
        <w:spacing w:line="400" w:lineRule="exact"/>
        <w:ind w:firstLine="360" w:firstLineChars="15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（3）招标人的相关场地情况、基础建设、电力供应情况及相关设计标准。</w:t>
      </w:r>
    </w:p>
    <w:p>
      <w:pPr>
        <w:shd w:val="clear" w:color="auto" w:fill="auto"/>
        <w:spacing w:line="400" w:lineRule="exact"/>
        <w:ind w:firstLine="360" w:firstLineChars="15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本</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不再对上述情况进行描述。</w:t>
      </w:r>
    </w:p>
    <w:p>
      <w:pPr>
        <w:shd w:val="clear" w:color="auto" w:fill="auto"/>
        <w:spacing w:before="312" w:beforeLines="100" w:after="312" w:afterLines="100" w:line="440" w:lineRule="exact"/>
        <w:jc w:val="center"/>
        <w:outlineLvl w:val="9"/>
        <w:rPr>
          <w:rFonts w:hint="eastAsia" w:ascii="仿宋" w:hAnsi="仿宋" w:eastAsia="仿宋" w:cs="仿宋"/>
          <w:b/>
          <w:color w:val="auto"/>
          <w:sz w:val="28"/>
          <w:szCs w:val="28"/>
          <w:highlight w:val="none"/>
          <w:lang w:eastAsia="zh-CN"/>
        </w:rPr>
      </w:pPr>
      <w:bookmarkStart w:id="23" w:name="_Toc469495725"/>
      <w:r>
        <w:rPr>
          <w:rFonts w:hint="eastAsia" w:ascii="仿宋" w:hAnsi="仿宋" w:eastAsia="仿宋" w:cs="仿宋"/>
          <w:b/>
          <w:color w:val="auto"/>
          <w:sz w:val="28"/>
          <w:szCs w:val="28"/>
          <w:highlight w:val="none"/>
        </w:rPr>
        <w:t>（二）</w:t>
      </w:r>
      <w:bookmarkEnd w:id="23"/>
      <w:r>
        <w:rPr>
          <w:rFonts w:hint="eastAsia" w:ascii="仿宋" w:hAnsi="仿宋" w:eastAsia="仿宋" w:cs="仿宋"/>
          <w:b/>
          <w:color w:val="auto"/>
          <w:sz w:val="28"/>
          <w:szCs w:val="28"/>
          <w:highlight w:val="none"/>
          <w:lang w:eastAsia="zh-CN"/>
        </w:rPr>
        <w:t>招标文件</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15.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的编制依据</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根据《中华人民共和国政府采购法》、《政府采购货物和服务招标投标管理办法》和《中华人民共和国合同法》</w:t>
      </w:r>
      <w:r>
        <w:rPr>
          <w:rFonts w:hint="eastAsia" w:ascii="仿宋" w:hAnsi="仿宋" w:eastAsia="仿宋" w:cs="仿宋"/>
          <w:color w:val="auto"/>
          <w:spacing w:val="-2"/>
          <w:szCs w:val="21"/>
          <w:highlight w:val="none"/>
        </w:rPr>
        <w:t>等相关法律法规和规章及部、省、市级规范性文件的规定，编制本</w:t>
      </w:r>
      <w:r>
        <w:rPr>
          <w:rFonts w:hint="eastAsia" w:ascii="仿宋" w:hAnsi="仿宋" w:eastAsia="仿宋" w:cs="仿宋"/>
          <w:color w:val="auto"/>
          <w:spacing w:val="-2"/>
          <w:szCs w:val="21"/>
          <w:highlight w:val="none"/>
          <w:lang w:eastAsia="zh-CN"/>
        </w:rPr>
        <w:t>采购文件</w:t>
      </w:r>
      <w:r>
        <w:rPr>
          <w:rFonts w:hint="eastAsia" w:ascii="仿宋" w:hAnsi="仿宋" w:eastAsia="仿宋" w:cs="仿宋"/>
          <w:color w:val="auto"/>
          <w:spacing w:val="-2"/>
          <w:szCs w:val="21"/>
          <w:highlight w:val="none"/>
        </w:rPr>
        <w:t>。</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16.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的组成</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16.1 </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包括内容：</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第一章  </w:t>
      </w:r>
      <w:r>
        <w:rPr>
          <w:rFonts w:hint="eastAsia" w:ascii="仿宋" w:hAnsi="仿宋" w:eastAsia="仿宋" w:cs="仿宋"/>
          <w:color w:val="auto"/>
          <w:szCs w:val="21"/>
          <w:highlight w:val="none"/>
          <w:lang w:eastAsia="zh-CN"/>
        </w:rPr>
        <w:t>招标</w:t>
      </w:r>
      <w:r>
        <w:rPr>
          <w:rFonts w:hint="eastAsia" w:ascii="仿宋" w:hAnsi="仿宋" w:eastAsia="仿宋" w:cs="仿宋"/>
          <w:color w:val="auto"/>
          <w:szCs w:val="21"/>
          <w:highlight w:val="none"/>
        </w:rPr>
        <w:t>公告</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第二章  供应商须知</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第三章  评标办法</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第四章  </w:t>
      </w:r>
      <w:r>
        <w:rPr>
          <w:rFonts w:hint="eastAsia" w:ascii="仿宋" w:hAnsi="仿宋" w:eastAsia="仿宋" w:cs="仿宋"/>
          <w:color w:val="auto"/>
          <w:szCs w:val="21"/>
          <w:highlight w:val="none"/>
          <w:lang w:eastAsia="zh-CN"/>
        </w:rPr>
        <w:t>技术规格数量及质量要求</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第五章  </w:t>
      </w:r>
      <w:r>
        <w:rPr>
          <w:rFonts w:hint="eastAsia" w:ascii="仿宋" w:hAnsi="仿宋" w:eastAsia="仿宋" w:cs="仿宋"/>
          <w:color w:val="auto"/>
          <w:szCs w:val="21"/>
          <w:highlight w:val="none"/>
          <w:lang w:eastAsia="zh-CN"/>
        </w:rPr>
        <w:t>合同（参考）</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第六章  </w:t>
      </w:r>
      <w:r>
        <w:rPr>
          <w:rFonts w:hint="eastAsia" w:ascii="仿宋" w:hAnsi="仿宋" w:eastAsia="仿宋" w:cs="仿宋"/>
          <w:color w:val="auto"/>
          <w:szCs w:val="21"/>
          <w:highlight w:val="none"/>
          <w:lang w:val="en-US" w:eastAsia="zh-CN"/>
        </w:rPr>
        <w:t>投标文件格式</w:t>
      </w:r>
    </w:p>
    <w:p>
      <w:pPr>
        <w:shd w:val="clear" w:color="auto" w:fill="auto"/>
        <w:spacing w:line="44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16.2 除16.1内容外，招标答疑亦为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的组成部分，对招标人和投标人起约束作用。</w:t>
      </w:r>
    </w:p>
    <w:p>
      <w:pPr>
        <w:pStyle w:val="13"/>
        <w:shd w:val="clear" w:color="auto" w:fill="auto"/>
        <w:wordWrap w:val="0"/>
        <w:spacing w:line="400" w:lineRule="exact"/>
        <w:outlineLvl w:val="9"/>
        <w:rPr>
          <w:rFonts w:hint="eastAsia" w:ascii="仿宋" w:hAnsi="仿宋" w:eastAsia="仿宋" w:cs="仿宋"/>
          <w:color w:val="auto"/>
          <w:szCs w:val="21"/>
          <w:highlight w:val="none"/>
          <w:lang w:val="en-US"/>
        </w:rPr>
      </w:pPr>
      <w:r>
        <w:rPr>
          <w:rFonts w:hint="eastAsia" w:ascii="仿宋" w:hAnsi="仿宋" w:eastAsia="仿宋" w:cs="仿宋"/>
          <w:color w:val="auto"/>
          <w:szCs w:val="21"/>
          <w:highlight w:val="none"/>
        </w:rPr>
        <w:t xml:space="preserve">   16.3</w:t>
      </w:r>
      <w:r>
        <w:rPr>
          <w:rFonts w:hint="eastAsia" w:ascii="仿宋" w:hAnsi="仿宋" w:eastAsia="仿宋" w:cs="仿宋"/>
          <w:color w:val="auto"/>
          <w:szCs w:val="21"/>
          <w:highlight w:val="none"/>
          <w:u w:val="none" w:color="auto"/>
        </w:rPr>
        <w:t>投标人应仔细阅读和检查</w:t>
      </w:r>
      <w:r>
        <w:rPr>
          <w:rFonts w:hint="eastAsia" w:ascii="仿宋" w:hAnsi="仿宋" w:eastAsia="仿宋" w:cs="仿宋"/>
          <w:color w:val="auto"/>
          <w:szCs w:val="21"/>
          <w:highlight w:val="none"/>
          <w:u w:val="none" w:color="auto"/>
          <w:lang w:eastAsia="zh-CN"/>
        </w:rPr>
        <w:t>采购文件</w:t>
      </w:r>
      <w:r>
        <w:rPr>
          <w:rFonts w:hint="eastAsia" w:ascii="仿宋" w:hAnsi="仿宋" w:eastAsia="仿宋" w:cs="仿宋"/>
          <w:color w:val="auto"/>
          <w:szCs w:val="21"/>
          <w:highlight w:val="none"/>
          <w:u w:val="none" w:color="auto"/>
        </w:rPr>
        <w:t>的全部内容。如发现缺页或附件不全，应及时向招标人提出，以便补齐。如有疑问，投标人应在</w:t>
      </w:r>
      <w:r>
        <w:rPr>
          <w:rFonts w:hint="eastAsia" w:ascii="仿宋" w:hAnsi="仿宋" w:eastAsia="仿宋" w:cs="仿宋"/>
          <w:color w:val="auto"/>
          <w:szCs w:val="21"/>
          <w:highlight w:val="none"/>
        </w:rPr>
        <w:t>以书面形式一次性向采购人和采购代理机构提出同一环节的质疑</w:t>
      </w:r>
      <w:r>
        <w:rPr>
          <w:rFonts w:hint="eastAsia" w:ascii="仿宋" w:hAnsi="仿宋" w:eastAsia="仿宋" w:cs="仿宋"/>
          <w:color w:val="auto"/>
          <w:szCs w:val="21"/>
          <w:highlight w:val="none"/>
          <w:u w:val="none" w:color="auto"/>
        </w:rPr>
        <w:t>。</w:t>
      </w:r>
    </w:p>
    <w:p>
      <w:pPr>
        <w:shd w:val="clear" w:color="auto" w:fill="auto"/>
        <w:wordWrap w:val="0"/>
        <w:spacing w:line="44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的澄清将在</w:t>
      </w:r>
      <w:r>
        <w:rPr>
          <w:rFonts w:hint="eastAsia" w:ascii="仿宋" w:hAnsi="仿宋" w:eastAsia="仿宋" w:cs="仿宋"/>
          <w:color w:val="auto"/>
          <w:szCs w:val="21"/>
          <w:highlight w:val="none"/>
          <w:lang w:eastAsia="zh-CN"/>
        </w:rPr>
        <w:t>政采云平台“更正公告”栏目予以公告</w:t>
      </w:r>
      <w:r>
        <w:rPr>
          <w:rFonts w:hint="eastAsia" w:ascii="仿宋" w:hAnsi="仿宋" w:eastAsia="仿宋" w:cs="仿宋"/>
          <w:color w:val="auto"/>
          <w:szCs w:val="21"/>
          <w:highlight w:val="none"/>
        </w:rPr>
        <w:t>，但不指明澄清问题的来源。如果澄清内容影响投标文件编制的，将相应延长投标截止时间。</w:t>
      </w:r>
    </w:p>
    <w:p>
      <w:pPr>
        <w:shd w:val="clear" w:color="auto" w:fill="auto"/>
        <w:spacing w:line="440" w:lineRule="exact"/>
        <w:ind w:firstLine="480" w:firstLineChars="200"/>
        <w:outlineLvl w:val="9"/>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 xml:space="preserve">17.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的修改、补充、解释</w:t>
      </w:r>
    </w:p>
    <w:p>
      <w:pPr>
        <w:shd w:val="clear" w:color="auto" w:fill="auto"/>
        <w:wordWrap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发出后，招标人在规定的投标截止时间前可对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进行必要的修改和补充，并以</w:t>
      </w:r>
      <w:r>
        <w:rPr>
          <w:rFonts w:hint="eastAsia" w:ascii="仿宋" w:hAnsi="仿宋" w:eastAsia="仿宋" w:cs="仿宋"/>
          <w:color w:val="auto"/>
          <w:szCs w:val="21"/>
          <w:highlight w:val="none"/>
          <w:lang w:eastAsia="zh-CN"/>
        </w:rPr>
        <w:t>更正</w:t>
      </w:r>
      <w:r>
        <w:rPr>
          <w:rFonts w:hint="eastAsia" w:ascii="仿宋" w:hAnsi="仿宋" w:eastAsia="仿宋" w:cs="仿宋"/>
          <w:color w:val="auto"/>
          <w:szCs w:val="21"/>
          <w:highlight w:val="none"/>
        </w:rPr>
        <w:t>公告形式在</w:t>
      </w:r>
      <w:r>
        <w:rPr>
          <w:rFonts w:hint="eastAsia" w:ascii="仿宋" w:hAnsi="仿宋" w:eastAsia="仿宋" w:cs="仿宋"/>
          <w:color w:val="auto"/>
          <w:szCs w:val="21"/>
          <w:highlight w:val="none"/>
          <w:lang w:eastAsia="zh-CN"/>
        </w:rPr>
        <w:t>政采云平台</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更正公告</w:t>
      </w:r>
      <w:r>
        <w:rPr>
          <w:rFonts w:hint="eastAsia" w:ascii="仿宋" w:hAnsi="仿宋" w:eastAsia="仿宋" w:cs="仿宋"/>
          <w:color w:val="auto"/>
          <w:szCs w:val="21"/>
          <w:highlight w:val="none"/>
        </w:rPr>
        <w:t>”栏目予以公告，请各位投标人注意查看有关澄清内容，如不及时查看造成后果由投标人自负。</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的修改、补充等内容作为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的组成部分，具有约束作用。</w:t>
      </w:r>
    </w:p>
    <w:p>
      <w:pPr>
        <w:shd w:val="clear" w:color="auto" w:fill="auto"/>
        <w:wordWrap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17.2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pPr>
        <w:shd w:val="clear" w:color="auto" w:fill="auto"/>
        <w:wordWrap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 xml:space="preserve"> </w:t>
      </w:r>
      <w:r>
        <w:rPr>
          <w:rFonts w:hint="eastAsia" w:ascii="仿宋" w:hAnsi="仿宋" w:eastAsia="仿宋" w:cs="仿宋"/>
          <w:color w:val="auto"/>
          <w:szCs w:val="21"/>
          <w:highlight w:val="none"/>
        </w:rPr>
        <w:t>供应商在规定的时间内未对采购文件提出疑问、质疑或要求澄清的，将视其为无异议。</w:t>
      </w:r>
    </w:p>
    <w:p>
      <w:pPr>
        <w:shd w:val="clear" w:color="auto" w:fill="auto"/>
        <w:spacing w:line="400" w:lineRule="exact"/>
        <w:ind w:firstLine="480" w:firstLineChars="20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 xml:space="preserve"> </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的解释</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由招标人（或其委托的招标代理机构）负责解释。</w:t>
      </w:r>
    </w:p>
    <w:p>
      <w:pPr>
        <w:shd w:val="clear" w:color="auto" w:fill="auto"/>
        <w:spacing w:line="400" w:lineRule="exact"/>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   18.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的发出</w:t>
      </w:r>
    </w:p>
    <w:p>
      <w:pPr>
        <w:shd w:val="clear" w:color="auto" w:fill="auto"/>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18.1  </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的澄清、修改、补充及招标答疑等均应报</w:t>
      </w:r>
      <w:r>
        <w:rPr>
          <w:rFonts w:hint="eastAsia" w:ascii="仿宋" w:hAnsi="仿宋" w:eastAsia="仿宋" w:cs="仿宋"/>
          <w:color w:val="auto"/>
          <w:szCs w:val="21"/>
          <w:highlight w:val="none"/>
          <w:lang w:eastAsia="zh-CN"/>
        </w:rPr>
        <w:t>相关部门</w:t>
      </w:r>
      <w:r>
        <w:rPr>
          <w:rFonts w:hint="eastAsia" w:ascii="仿宋" w:hAnsi="仿宋" w:eastAsia="仿宋" w:cs="仿宋"/>
          <w:color w:val="auto"/>
          <w:szCs w:val="21"/>
          <w:highlight w:val="none"/>
        </w:rPr>
        <w:t>备案后，方可发出。</w:t>
      </w:r>
    </w:p>
    <w:p>
      <w:pPr>
        <w:shd w:val="clear" w:color="auto" w:fill="auto"/>
        <w:spacing w:line="440" w:lineRule="exact"/>
        <w:ind w:firstLine="319" w:firstLineChars="133"/>
        <w:outlineLvl w:val="9"/>
        <w:rPr>
          <w:rFonts w:hint="eastAsia" w:ascii="仿宋" w:hAnsi="仿宋" w:eastAsia="仿宋" w:cs="仿宋"/>
          <w:color w:val="auto"/>
          <w:szCs w:val="21"/>
          <w:highlight w:val="none"/>
        </w:rPr>
      </w:pPr>
      <w:bookmarkStart w:id="24" w:name="_Toc469495726"/>
      <w:r>
        <w:rPr>
          <w:rFonts w:hint="eastAsia" w:ascii="仿宋" w:hAnsi="仿宋" w:eastAsia="仿宋" w:cs="仿宋"/>
          <w:b/>
          <w:color w:val="auto"/>
          <w:szCs w:val="21"/>
          <w:highlight w:val="none"/>
        </w:rPr>
        <w:t xml:space="preserve">19. </w:t>
      </w:r>
      <w:r>
        <w:rPr>
          <w:rFonts w:hint="eastAsia" w:ascii="仿宋" w:hAnsi="仿宋" w:eastAsia="仿宋" w:cs="仿宋"/>
          <w:color w:val="auto"/>
          <w:szCs w:val="21"/>
          <w:highlight w:val="none"/>
        </w:rPr>
        <w:t>凡需要设置样品情形时，必须明确是否需要随样品提交检测报告，并明确检测机构的要求、检测内容、</w:t>
      </w:r>
      <w:r>
        <w:rPr>
          <w:rFonts w:hint="eastAsia" w:ascii="仿宋" w:hAnsi="仿宋" w:eastAsia="仿宋" w:cs="仿宋"/>
          <w:b w:val="0"/>
          <w:bCs w:val="0"/>
          <w:color w:val="auto"/>
          <w:szCs w:val="21"/>
          <w:highlight w:val="none"/>
        </w:rPr>
        <w:t>中标样品封存</w:t>
      </w:r>
      <w:r>
        <w:rPr>
          <w:rFonts w:hint="eastAsia" w:ascii="仿宋" w:hAnsi="仿宋" w:eastAsia="仿宋" w:cs="仿宋"/>
          <w:color w:val="auto"/>
          <w:szCs w:val="21"/>
          <w:highlight w:val="none"/>
        </w:rPr>
        <w:t>等事项。（评标委员会无法判断样品是否合格且样品需要提供给第三方权威检测机构检测的,在投标人提供招标人认可的第三方权威检测机构检测报告后，评标委员会推荐的中标候选人方可生效，采购人或代理机构发布中标（成交）结果公告。</w:t>
      </w:r>
    </w:p>
    <w:p>
      <w:pPr>
        <w:shd w:val="clear" w:color="auto" w:fill="auto"/>
        <w:spacing w:line="400" w:lineRule="exact"/>
        <w:ind w:firstLine="42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中应明确样品送检方式、检测费用支付方法、投标人在规定时间内无法提供第三方权威检测机构检测报告的处理方式。（</w:t>
      </w:r>
      <w:r>
        <w:rPr>
          <w:rFonts w:hint="eastAsia" w:ascii="仿宋" w:hAnsi="仿宋" w:eastAsia="仿宋" w:cs="仿宋"/>
          <w:color w:val="auto"/>
          <w:szCs w:val="21"/>
          <w:highlight w:val="none"/>
          <w:lang w:eastAsia="zh-CN"/>
        </w:rPr>
        <w:t>采购人</w:t>
      </w:r>
      <w:r>
        <w:rPr>
          <w:rFonts w:hint="eastAsia" w:ascii="仿宋" w:hAnsi="仿宋" w:eastAsia="仿宋" w:cs="仿宋"/>
          <w:color w:val="auto"/>
          <w:szCs w:val="21"/>
          <w:highlight w:val="none"/>
        </w:rPr>
        <w:t>根据项目需求按上述要求自行描述）</w:t>
      </w:r>
    </w:p>
    <w:p>
      <w:pPr>
        <w:shd w:val="clear" w:color="auto" w:fill="auto"/>
        <w:spacing w:before="312" w:beforeLines="100" w:after="312" w:afterLines="100" w:line="440" w:lineRule="exact"/>
        <w:jc w:val="center"/>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（三）投标文件的编制</w:t>
      </w:r>
      <w:bookmarkEnd w:id="24"/>
    </w:p>
    <w:p>
      <w:pPr>
        <w:shd w:val="clear" w:color="auto" w:fill="auto"/>
        <w:spacing w:line="440" w:lineRule="exact"/>
        <w:ind w:firstLine="348" w:firstLineChars="145"/>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20. 投标的语言及度量衡单位</w:t>
      </w:r>
    </w:p>
    <w:p>
      <w:pPr>
        <w:shd w:val="clear" w:color="auto" w:fill="auto"/>
        <w:spacing w:line="440" w:lineRule="exact"/>
        <w:ind w:firstLine="324" w:firstLineChars="13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20.1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pPr>
        <w:shd w:val="clear" w:color="auto" w:fill="auto"/>
        <w:spacing w:line="440" w:lineRule="exact"/>
        <w:ind w:firstLine="324" w:firstLineChars="13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20.2除</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中另有规定外，投标书所使用的度量衡均须采用法定计量单位。</w:t>
      </w:r>
    </w:p>
    <w:p>
      <w:pPr>
        <w:shd w:val="clear" w:color="auto" w:fill="auto"/>
        <w:spacing w:line="400" w:lineRule="exact"/>
        <w:ind w:firstLine="235" w:firstLineChars="98"/>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21. 投标文件的组成</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资格证明文件和商务及技术文件两部分。</w:t>
      </w:r>
    </w:p>
    <w:p>
      <w:pPr>
        <w:shd w:val="clear" w:color="auto" w:fill="auto"/>
        <w:spacing w:line="440" w:lineRule="exact"/>
        <w:ind w:firstLine="352" w:firstLineChars="147"/>
        <w:outlineLvl w:val="9"/>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rPr>
        <w:t>21.1资格证明文件</w:t>
      </w:r>
      <w:r>
        <w:rPr>
          <w:rFonts w:hint="eastAsia" w:ascii="仿宋" w:hAnsi="仿宋" w:eastAsia="仿宋" w:cs="仿宋"/>
          <w:b/>
          <w:color w:val="auto"/>
          <w:szCs w:val="21"/>
          <w:highlight w:val="none"/>
          <w:lang w:eastAsia="zh-CN"/>
        </w:rPr>
        <w:t>（包括但不限于）</w:t>
      </w:r>
    </w:p>
    <w:p>
      <w:pPr>
        <w:shd w:val="clear" w:color="auto" w:fill="auto"/>
        <w:spacing w:line="440" w:lineRule="exact"/>
        <w:ind w:firstLine="352" w:firstLineChars="147"/>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w:t>
      </w:r>
      <w:r>
        <w:rPr>
          <w:rFonts w:hint="eastAsia" w:ascii="仿宋" w:hAnsi="仿宋" w:eastAsia="仿宋" w:cs="仿宋"/>
          <w:color w:val="auto"/>
          <w:szCs w:val="21"/>
          <w:highlight w:val="none"/>
          <w:lang w:eastAsia="zh-CN"/>
        </w:rPr>
        <w:t>文件</w:t>
      </w:r>
      <w:r>
        <w:rPr>
          <w:rFonts w:hint="eastAsia" w:ascii="仿宋" w:hAnsi="仿宋" w:eastAsia="仿宋" w:cs="仿宋"/>
          <w:color w:val="auto"/>
          <w:szCs w:val="21"/>
          <w:highlight w:val="none"/>
        </w:rPr>
        <w:t>是证明投标人有资格参加投标和中标后有能力履行合同的文件，这些文件应能满足招标的要求，否则作无效投标处理。</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1、法人或者非法人组织的营业执照等证明文件复印件（须加盖本单位章）或自然人的身份证明复印件;</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2、法定代表人资格证明书</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3、法定代表人授权书</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4、投标保证金收据或投标担保函；</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5、投标企业须提供投标人（被授权在职人员）近期社保证明</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6、参加政府采购活动前3年内在经营活动中没有重大违法记录的书面声明;</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7、未被“信用中国”（www.creditchina.gov.cn）、中国政府采购网（www.ccgp.gov.cn）列入失信被执行人、重大税收违法案件当事人名单、政府采购严重违法失信行为记录名单（提供查询结果网页截图并加盖供应商公章）</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8、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9、投标人须知资料表要求的其他资格证明文件;</w:t>
      </w:r>
    </w:p>
    <w:p>
      <w:pPr>
        <w:shd w:val="clear" w:color="auto" w:fill="auto"/>
        <w:spacing w:line="440" w:lineRule="exact"/>
        <w:ind w:firstLine="352" w:firstLineChars="147"/>
        <w:outlineLvl w:val="9"/>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21.2</w:t>
      </w:r>
      <w:r>
        <w:rPr>
          <w:rFonts w:hint="eastAsia" w:ascii="仿宋" w:hAnsi="仿宋" w:eastAsia="仿宋" w:cs="仿宋"/>
          <w:b/>
          <w:color w:val="auto"/>
          <w:szCs w:val="21"/>
          <w:highlight w:val="none"/>
          <w:lang w:val="en-US" w:eastAsia="zh-CN"/>
        </w:rPr>
        <w:t xml:space="preserve"> 商务及技术文件</w:t>
      </w:r>
      <w:r>
        <w:rPr>
          <w:rFonts w:hint="eastAsia" w:ascii="仿宋" w:hAnsi="仿宋" w:eastAsia="仿宋" w:cs="仿宋"/>
          <w:b/>
          <w:color w:val="auto"/>
          <w:szCs w:val="21"/>
          <w:highlight w:val="none"/>
          <w:lang w:eastAsia="zh-CN"/>
        </w:rPr>
        <w:t>（包括但不限于）</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rPr>
        <w:t>1、投标</w:t>
      </w:r>
      <w:r>
        <w:rPr>
          <w:rFonts w:hint="eastAsia" w:ascii="仿宋" w:hAnsi="仿宋" w:eastAsia="仿宋" w:cs="仿宋"/>
          <w:b w:val="0"/>
          <w:bCs/>
          <w:color w:val="auto"/>
          <w:kern w:val="0"/>
          <w:szCs w:val="21"/>
          <w:highlight w:val="none"/>
          <w:u w:val="none"/>
          <w:lang w:eastAsia="zh-CN"/>
        </w:rPr>
        <w:t>函</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val="en-US" w:eastAsia="zh-CN"/>
        </w:rPr>
      </w:pPr>
      <w:r>
        <w:rPr>
          <w:rFonts w:hint="eastAsia" w:ascii="仿宋" w:hAnsi="仿宋" w:eastAsia="仿宋" w:cs="仿宋"/>
          <w:b w:val="0"/>
          <w:bCs/>
          <w:color w:val="auto"/>
          <w:kern w:val="0"/>
          <w:szCs w:val="21"/>
          <w:highlight w:val="none"/>
          <w:u w:val="none"/>
          <w:lang w:val="en-US" w:eastAsia="zh-CN"/>
        </w:rPr>
        <w:t>2、开标一览表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val="en-US" w:eastAsia="zh-CN"/>
        </w:rPr>
      </w:pPr>
      <w:r>
        <w:rPr>
          <w:rFonts w:hint="eastAsia" w:ascii="仿宋" w:hAnsi="仿宋" w:eastAsia="仿宋" w:cs="仿宋"/>
          <w:b w:val="0"/>
          <w:bCs/>
          <w:color w:val="auto"/>
          <w:kern w:val="0"/>
          <w:szCs w:val="21"/>
          <w:highlight w:val="none"/>
          <w:u w:val="none"/>
          <w:lang w:val="en-US" w:eastAsia="zh-CN"/>
        </w:rPr>
        <w:t>3、货物说明一览表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lang w:val="en-US" w:eastAsia="zh-CN"/>
        </w:rPr>
        <w:t>4</w:t>
      </w:r>
      <w:r>
        <w:rPr>
          <w:rFonts w:hint="eastAsia" w:ascii="仿宋" w:hAnsi="仿宋" w:eastAsia="仿宋" w:cs="仿宋"/>
          <w:b w:val="0"/>
          <w:bCs/>
          <w:color w:val="auto"/>
          <w:kern w:val="0"/>
          <w:szCs w:val="21"/>
          <w:highlight w:val="none"/>
          <w:u w:val="none"/>
        </w:rPr>
        <w:t>、投标分项报价表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lang w:val="en-US" w:eastAsia="zh-CN"/>
        </w:rPr>
        <w:t>5</w:t>
      </w:r>
      <w:r>
        <w:rPr>
          <w:rFonts w:hint="eastAsia" w:ascii="仿宋" w:hAnsi="仿宋" w:eastAsia="仿宋" w:cs="仿宋"/>
          <w:b w:val="0"/>
          <w:bCs/>
          <w:color w:val="auto"/>
          <w:kern w:val="0"/>
          <w:szCs w:val="21"/>
          <w:highlight w:val="none"/>
          <w:u w:val="none"/>
        </w:rPr>
        <w:t>、技术规格偏离表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lang w:val="en-US" w:eastAsia="zh-CN"/>
        </w:rPr>
        <w:t>6</w:t>
      </w:r>
      <w:r>
        <w:rPr>
          <w:rFonts w:hint="eastAsia" w:ascii="仿宋" w:hAnsi="仿宋" w:eastAsia="仿宋" w:cs="仿宋"/>
          <w:b w:val="0"/>
          <w:bCs/>
          <w:color w:val="auto"/>
          <w:kern w:val="0"/>
          <w:szCs w:val="21"/>
          <w:highlight w:val="none"/>
          <w:u w:val="none"/>
        </w:rPr>
        <w:t>、商务条款偏离表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eastAsia="zh-CN"/>
        </w:rPr>
      </w:pPr>
      <w:r>
        <w:rPr>
          <w:rFonts w:hint="eastAsia" w:ascii="仿宋" w:hAnsi="仿宋" w:eastAsia="仿宋" w:cs="仿宋"/>
          <w:b w:val="0"/>
          <w:bCs/>
          <w:color w:val="auto"/>
          <w:kern w:val="0"/>
          <w:szCs w:val="21"/>
          <w:highlight w:val="none"/>
          <w:u w:val="none"/>
          <w:lang w:val="en-US" w:eastAsia="zh-CN"/>
        </w:rPr>
        <w:t>7、投标人基本情况表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val="en-US" w:eastAsia="zh-CN"/>
        </w:rPr>
      </w:pPr>
      <w:r>
        <w:rPr>
          <w:rFonts w:hint="eastAsia" w:ascii="仿宋" w:hAnsi="仿宋" w:eastAsia="仿宋" w:cs="仿宋"/>
          <w:b w:val="0"/>
          <w:bCs/>
          <w:color w:val="auto"/>
          <w:kern w:val="0"/>
          <w:szCs w:val="21"/>
          <w:highlight w:val="none"/>
          <w:u w:val="none"/>
          <w:lang w:val="en-US" w:eastAsia="zh-CN"/>
        </w:rPr>
        <w:t>8、近三年（2019年1月1日至今）类似项目业绩表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lang w:val="en-US" w:eastAsia="zh-CN"/>
        </w:rPr>
        <w:t>9</w:t>
      </w:r>
      <w:r>
        <w:rPr>
          <w:rFonts w:hint="eastAsia" w:ascii="仿宋" w:hAnsi="仿宋" w:eastAsia="仿宋" w:cs="仿宋"/>
          <w:b w:val="0"/>
          <w:bCs/>
          <w:color w:val="auto"/>
          <w:kern w:val="0"/>
          <w:szCs w:val="21"/>
          <w:highlight w:val="none"/>
          <w:u w:val="none"/>
        </w:rPr>
        <w:t>、中小企业声明函(</w:t>
      </w:r>
      <w:r>
        <w:rPr>
          <w:rFonts w:hint="eastAsia" w:ascii="仿宋" w:hAnsi="仿宋" w:eastAsia="仿宋" w:cs="仿宋"/>
          <w:b w:val="0"/>
          <w:bCs/>
          <w:color w:val="auto"/>
          <w:kern w:val="0"/>
          <w:szCs w:val="21"/>
          <w:highlight w:val="none"/>
          <w:u w:val="none"/>
          <w:lang w:eastAsia="zh-CN"/>
        </w:rPr>
        <w:t>货物</w:t>
      </w:r>
      <w:r>
        <w:rPr>
          <w:rFonts w:hint="eastAsia" w:ascii="仿宋" w:hAnsi="仿宋" w:eastAsia="仿宋" w:cs="仿宋"/>
          <w:b w:val="0"/>
          <w:bCs/>
          <w:color w:val="auto"/>
          <w:kern w:val="0"/>
          <w:szCs w:val="21"/>
          <w:highlight w:val="none"/>
          <w:u w:val="none"/>
        </w:rPr>
        <w:t>)</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lang w:val="en-US" w:eastAsia="zh-CN"/>
        </w:rPr>
        <w:t>10、</w:t>
      </w:r>
      <w:r>
        <w:rPr>
          <w:rFonts w:hint="eastAsia" w:ascii="仿宋" w:hAnsi="仿宋" w:eastAsia="仿宋" w:cs="仿宋"/>
          <w:b w:val="0"/>
          <w:bCs/>
          <w:color w:val="auto"/>
          <w:kern w:val="0"/>
          <w:szCs w:val="21"/>
          <w:highlight w:val="none"/>
          <w:u w:val="none"/>
        </w:rPr>
        <w:t>《残疾人福利性单位声明函》</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eastAsia="zh-CN"/>
        </w:rPr>
      </w:pPr>
      <w:r>
        <w:rPr>
          <w:rFonts w:hint="eastAsia" w:ascii="仿宋" w:hAnsi="仿宋" w:eastAsia="仿宋" w:cs="仿宋"/>
          <w:b w:val="0"/>
          <w:bCs/>
          <w:color w:val="auto"/>
          <w:kern w:val="0"/>
          <w:szCs w:val="21"/>
          <w:highlight w:val="none"/>
          <w:u w:val="none"/>
          <w:lang w:val="en-US" w:eastAsia="zh-CN"/>
        </w:rPr>
        <w:t>11、</w:t>
      </w:r>
      <w:r>
        <w:rPr>
          <w:rFonts w:hint="eastAsia" w:ascii="仿宋" w:hAnsi="仿宋" w:eastAsia="仿宋" w:cs="仿宋"/>
          <w:b w:val="0"/>
          <w:bCs/>
          <w:color w:val="auto"/>
          <w:kern w:val="0"/>
          <w:szCs w:val="21"/>
          <w:highlight w:val="none"/>
          <w:u w:val="none"/>
          <w:lang w:eastAsia="zh-CN"/>
        </w:rPr>
        <w:t>评分标准和细则中技术部分证明材料</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eastAsia="zh-CN"/>
        </w:rPr>
      </w:pPr>
      <w:r>
        <w:rPr>
          <w:rFonts w:hint="eastAsia" w:ascii="仿宋" w:hAnsi="仿宋" w:eastAsia="仿宋" w:cs="仿宋"/>
          <w:b w:val="0"/>
          <w:bCs/>
          <w:color w:val="auto"/>
          <w:kern w:val="0"/>
          <w:szCs w:val="21"/>
          <w:highlight w:val="none"/>
          <w:u w:val="none"/>
          <w:lang w:val="en-US" w:eastAsia="zh-CN"/>
        </w:rPr>
        <w:t>12、</w:t>
      </w:r>
      <w:r>
        <w:rPr>
          <w:rFonts w:hint="eastAsia" w:ascii="仿宋" w:hAnsi="仿宋" w:eastAsia="仿宋" w:cs="仿宋"/>
          <w:b w:val="0"/>
          <w:bCs/>
          <w:color w:val="auto"/>
          <w:kern w:val="0"/>
          <w:szCs w:val="21"/>
          <w:highlight w:val="none"/>
          <w:u w:val="none"/>
          <w:lang w:eastAsia="zh-CN"/>
        </w:rPr>
        <w:t>评分标准和细则中技术部分证明材料（格式自拟）</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eastAsia="zh-CN"/>
        </w:rPr>
      </w:pPr>
      <w:r>
        <w:rPr>
          <w:rFonts w:hint="eastAsia" w:ascii="仿宋" w:hAnsi="仿宋" w:eastAsia="仿宋" w:cs="仿宋"/>
          <w:b w:val="0"/>
          <w:bCs/>
          <w:color w:val="auto"/>
          <w:kern w:val="0"/>
          <w:szCs w:val="21"/>
          <w:highlight w:val="none"/>
          <w:u w:val="none"/>
          <w:lang w:val="en-US" w:eastAsia="zh-CN"/>
        </w:rPr>
        <w:t>13、</w:t>
      </w:r>
      <w:r>
        <w:rPr>
          <w:rFonts w:hint="eastAsia" w:ascii="仿宋" w:hAnsi="仿宋" w:eastAsia="仿宋" w:cs="仿宋"/>
          <w:b w:val="0"/>
          <w:bCs/>
          <w:color w:val="auto"/>
          <w:kern w:val="0"/>
          <w:szCs w:val="21"/>
          <w:highlight w:val="none"/>
          <w:u w:val="none"/>
          <w:lang w:eastAsia="zh-CN"/>
        </w:rPr>
        <w:t>投标人认为有必要提供的其他证明材料（格式自拟）</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b/>
          <w:color w:val="auto"/>
          <w:kern w:val="0"/>
          <w:szCs w:val="21"/>
          <w:highlight w:val="none"/>
          <w:u w:val="single"/>
        </w:rPr>
        <w:t>注：以上材料须</w:t>
      </w:r>
      <w:r>
        <w:rPr>
          <w:rFonts w:hint="eastAsia" w:ascii="仿宋" w:hAnsi="仿宋" w:eastAsia="仿宋" w:cs="仿宋"/>
          <w:b/>
          <w:color w:val="auto"/>
          <w:kern w:val="0"/>
          <w:szCs w:val="21"/>
          <w:highlight w:val="none"/>
          <w:u w:val="single"/>
          <w:lang w:eastAsia="zh-CN"/>
        </w:rPr>
        <w:t>逐页</w:t>
      </w:r>
      <w:r>
        <w:rPr>
          <w:rFonts w:hint="eastAsia" w:ascii="仿宋" w:hAnsi="仿宋" w:eastAsia="仿宋" w:cs="仿宋"/>
          <w:b/>
          <w:color w:val="auto"/>
          <w:kern w:val="0"/>
          <w:szCs w:val="21"/>
          <w:highlight w:val="none"/>
          <w:u w:val="single"/>
        </w:rPr>
        <w:t>加盖单位公章</w:t>
      </w:r>
      <w:r>
        <w:rPr>
          <w:rFonts w:hint="eastAsia" w:ascii="仿宋" w:hAnsi="仿宋" w:eastAsia="仿宋" w:cs="仿宋"/>
          <w:b/>
          <w:color w:val="auto"/>
          <w:kern w:val="0"/>
          <w:szCs w:val="21"/>
          <w:highlight w:val="none"/>
          <w:u w:val="single"/>
          <w:lang w:eastAsia="zh-CN"/>
        </w:rPr>
        <w:t>。</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投标文件的要求</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）投标文件格式应按本采购文件第六章格式要求编制，不得对采购文件格式进行增删更改，否则按无效标处理。</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 xml:space="preserve">）对采购文件格式可更改的例外情况：采购文件第六章附件格式要求中明确规定表格中行数不够用时可按相同格式增加行数，其他一切内容和格式不得更改。 </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）投标文件为电子投标文件，电子投标文件按“政采云供应商项目采购-电子招投标操作指南”及本采购文件要求制作、加密传输。</w:t>
      </w:r>
    </w:p>
    <w:p>
      <w:pPr>
        <w:shd w:val="clear" w:color="auto" w:fill="auto"/>
        <w:spacing w:line="400" w:lineRule="exact"/>
        <w:ind w:firstLine="477" w:firstLineChars="199"/>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）投标文件未在投标截止时间前完成传输的，视为投标文件撤回；投标文件未按时解密也未提供备份投标文件的，亦视为投标文件撤回。</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22</w:t>
      </w:r>
      <w:r>
        <w:rPr>
          <w:rFonts w:hint="eastAsia" w:ascii="仿宋" w:hAnsi="仿宋" w:eastAsia="仿宋" w:cs="仿宋"/>
          <w:color w:val="auto"/>
          <w:szCs w:val="21"/>
          <w:highlight w:val="none"/>
        </w:rPr>
        <w:t>.</w:t>
      </w:r>
      <w:r>
        <w:rPr>
          <w:rFonts w:hint="eastAsia" w:ascii="仿宋" w:hAnsi="仿宋" w:eastAsia="仿宋" w:cs="仿宋"/>
          <w:b/>
          <w:color w:val="auto"/>
          <w:szCs w:val="21"/>
          <w:highlight w:val="none"/>
        </w:rPr>
        <w:t>投标报价</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22.1投标报价文件中的单价和总价全部采用人民币表示。</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22.2投标报价表上应清楚地标明投标人拟提供货物的名称、型号、生产厂家、数量、单价和总价。</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22.3投标人只允许有一个方案、一个报价。</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22.4投标人应按“采购内容及技术参数要求”所列货物逐项进行单价报价，并最终按货物总量乘以货物单价报总价，不得采用总价下浮的方式进行报价。综合单价包括：货物本身价格、疫苗费检测费、运输费用、验货费用、损耗、技术指导、税金费用、自检费及验收合格前和质保期内发生的一切费用、应当提供的伴随服务/售后服务费用。</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22.5投标报价的价格是货物交货地验收价格，其总价即为履行合同的固定总价。</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22.6技术要求中规定的安装、调试和培训费用应包括在投标价格中。投标文件报价为含税价，招标人不再为此次招标支付任何费用。</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22.7投标报价应由法定代表人或被授权人签署。</w:t>
      </w:r>
    </w:p>
    <w:p>
      <w:pPr>
        <w:shd w:val="clear" w:color="auto" w:fill="auto"/>
        <w:spacing w:line="440" w:lineRule="exact"/>
        <w:ind w:firstLine="480" w:firstLineChars="20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22.8</w:t>
      </w:r>
      <w:r>
        <w:rPr>
          <w:rFonts w:hint="eastAsia" w:ascii="仿宋" w:hAnsi="仿宋" w:eastAsia="仿宋" w:cs="仿宋"/>
          <w:b/>
          <w:color w:val="auto"/>
          <w:szCs w:val="21"/>
          <w:highlight w:val="none"/>
        </w:rPr>
        <w:t>投标人投标总报价，不得高于本次招标设置的最高限价，</w:t>
      </w:r>
      <w:r>
        <w:rPr>
          <w:rFonts w:hint="eastAsia" w:ascii="仿宋" w:hAnsi="仿宋" w:eastAsia="仿宋" w:cs="仿宋"/>
          <w:b/>
          <w:bCs/>
          <w:color w:val="auto"/>
          <w:szCs w:val="21"/>
          <w:highlight w:val="none"/>
        </w:rPr>
        <w:t>否则将作为无效投标处理。</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22.9如投标文件中未列明全面实现投标货物功能而必须配置的配套或辅助设施及相应技术措施的费用，这些费用将被视为已包含在总投标价中。</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22.10总投标价中不得包含</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要求以外的内容，否则，在评标时不予核减，但在授予合同时，招标人有权将这部分价格从其中标价格中扣除。</w:t>
      </w:r>
    </w:p>
    <w:p>
      <w:pPr>
        <w:shd w:val="clear" w:color="auto" w:fill="auto"/>
        <w:spacing w:line="440" w:lineRule="exact"/>
        <w:ind w:firstLine="460" w:firstLineChars="192"/>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22.11总投标价中不得缺漏</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仿宋" w:hAnsi="仿宋" w:eastAsia="仿宋" w:cs="仿宋"/>
          <w:color w:val="auto"/>
          <w:szCs w:val="21"/>
          <w:highlight w:val="none"/>
          <w:lang w:val="en-US" w:eastAsia="zh-CN"/>
        </w:rPr>
        <w:t xml:space="preserve">    </w:t>
      </w:r>
    </w:p>
    <w:p>
      <w:pPr>
        <w:shd w:val="clear" w:color="auto" w:fill="auto"/>
        <w:spacing w:line="440" w:lineRule="exact"/>
        <w:ind w:firstLine="460" w:firstLineChars="192"/>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22.12投标人不得对从第三方采购货物的随机备品、备件另行收费，否则在计算评标价时这部分费用将不予扣除，在授予合同时将从中标价格中扣除该部分费用。</w:t>
      </w:r>
    </w:p>
    <w:p>
      <w:pPr>
        <w:shd w:val="clear" w:color="auto" w:fill="auto"/>
        <w:spacing w:line="440" w:lineRule="exact"/>
        <w:ind w:firstLine="460" w:firstLineChars="192"/>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22.13投标人应根据货物的技术状况列出随机备品备件的清单和数量，并将该备品备件价格计入总投标价，若所提供的产品无需备件，则应在投标文件中说明；无论投标人在报价中列明随机备品备件的数量及价格多少，在质保期内招标人均无需为维护维修保养所需的专用工具和备品备件另行支付费用。</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23. 投标有效期</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23.1 除投标人须知前附表另有规定外，投标有效期为60天。</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23.2在投标有效期内，投标人撤销或修改其投标文件的，应承担</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和法律规定的责任。</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shd w:val="clear" w:color="auto" w:fill="auto"/>
        <w:spacing w:line="440" w:lineRule="exact"/>
        <w:ind w:firstLine="460" w:firstLineChars="192"/>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24. 投标保证金</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24.1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24.2自中标通知书发出之日起5个工作日内退还未中标投标人的投标保证金，自政府采购合同签订之日起5个工作日内退还中标人的投标保证金。</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24.3有下列情形之一的，投标保证金将不予退还： </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（1）投标人在规定的投标有效期内撤回或修改其投标文件；</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（2）中标通知书发出后三十天内，中标人无正当理由拒签合同协议书或未按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规定提交履约担保。</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（3）提供虚假材料谋取中标的；</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（4）经查实属于陪标、串通投标的等。</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bookmarkStart w:id="25" w:name="_Toc469495727"/>
      <w:r>
        <w:rPr>
          <w:rFonts w:hint="eastAsia" w:ascii="仿宋" w:hAnsi="仿宋" w:eastAsia="仿宋" w:cs="仿宋"/>
          <w:color w:val="auto"/>
          <w:szCs w:val="21"/>
          <w:highlight w:val="none"/>
        </w:rPr>
        <w:t>24.4投标保证金按</w:t>
      </w:r>
      <w:r>
        <w:rPr>
          <w:rFonts w:hint="eastAsia" w:ascii="仿宋" w:hAnsi="仿宋" w:eastAsia="仿宋" w:cs="仿宋"/>
          <w:color w:val="auto"/>
          <w:szCs w:val="21"/>
          <w:highlight w:val="none"/>
          <w:lang w:eastAsia="zh-CN"/>
        </w:rPr>
        <w:t>投标人须知前附表第</w:t>
      </w:r>
      <w:r>
        <w:rPr>
          <w:rFonts w:hint="eastAsia" w:ascii="仿宋" w:hAnsi="仿宋" w:eastAsia="仿宋" w:cs="仿宋"/>
          <w:color w:val="auto"/>
          <w:szCs w:val="21"/>
          <w:highlight w:val="none"/>
          <w:lang w:val="en-US" w:eastAsia="zh-CN"/>
        </w:rPr>
        <w:t>24条</w:t>
      </w:r>
      <w:r>
        <w:rPr>
          <w:rFonts w:hint="eastAsia" w:ascii="仿宋" w:hAnsi="仿宋" w:eastAsia="仿宋" w:cs="仿宋"/>
          <w:color w:val="auto"/>
          <w:szCs w:val="21"/>
          <w:highlight w:val="none"/>
        </w:rPr>
        <w:t>规定执行。</w:t>
      </w:r>
    </w:p>
    <w:p>
      <w:pPr>
        <w:shd w:val="clear" w:color="auto" w:fill="auto"/>
        <w:bidi w:val="0"/>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w:t>
      </w:r>
      <w:bookmarkEnd w:id="25"/>
      <w:r>
        <w:rPr>
          <w:rFonts w:hint="eastAsia" w:ascii="仿宋" w:hAnsi="仿宋" w:eastAsia="仿宋" w:cs="仿宋"/>
          <w:color w:val="auto"/>
          <w:sz w:val="28"/>
          <w:szCs w:val="28"/>
          <w:highlight w:val="none"/>
        </w:rPr>
        <w:t>投标文件的制作、上传及递交要求</w:t>
      </w:r>
    </w:p>
    <w:p>
      <w:pPr>
        <w:shd w:val="clear" w:color="auto" w:fill="auto"/>
        <w:snapToGrid w:val="0"/>
        <w:spacing w:line="360" w:lineRule="auto"/>
        <w:ind w:firstLine="480" w:firstLineChars="200"/>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25.</w:t>
      </w:r>
      <w:r>
        <w:rPr>
          <w:rFonts w:hint="eastAsia" w:ascii="仿宋" w:hAnsi="仿宋" w:eastAsia="仿宋" w:cs="仿宋"/>
          <w:b/>
          <w:bCs/>
          <w:color w:val="auto"/>
          <w:sz w:val="24"/>
          <w:szCs w:val="24"/>
          <w:highlight w:val="none"/>
        </w:rPr>
        <w:t>投标文件的制作要求</w:t>
      </w:r>
    </w:p>
    <w:p>
      <w:pPr>
        <w:pStyle w:val="6"/>
        <w:shd w:val="clear" w:color="auto" w:fill="auto"/>
        <w:snapToGrid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b w:val="0"/>
          <w:bCs/>
          <w:color w:val="auto"/>
          <w:sz w:val="24"/>
          <w:szCs w:val="24"/>
          <w:highlight w:val="none"/>
        </w:rPr>
        <w:t>（1）供应商应按照投标文件组成内容及项目招标需求和</w:t>
      </w:r>
      <w:r>
        <w:rPr>
          <w:rFonts w:hint="eastAsia" w:ascii="仿宋" w:hAnsi="仿宋" w:eastAsia="仿宋" w:cs="仿宋"/>
          <w:b w:val="0"/>
          <w:bCs/>
          <w:color w:val="auto"/>
          <w:sz w:val="24"/>
          <w:szCs w:val="24"/>
          <w:highlight w:val="none"/>
          <w:lang w:eastAsia="zh-CN"/>
        </w:rPr>
        <w:t>新疆</w:t>
      </w:r>
      <w:r>
        <w:rPr>
          <w:rFonts w:hint="eastAsia" w:ascii="仿宋" w:hAnsi="仿宋" w:eastAsia="仿宋" w:cs="仿宋"/>
          <w:b w:val="0"/>
          <w:bCs/>
          <w:color w:val="auto"/>
          <w:sz w:val="24"/>
          <w:szCs w:val="24"/>
          <w:highlight w:val="none"/>
        </w:rPr>
        <w:t>政府采购云平台要求制作投标文件，不按采购文件和</w:t>
      </w:r>
      <w:r>
        <w:rPr>
          <w:rFonts w:hint="eastAsia" w:ascii="仿宋" w:hAnsi="仿宋" w:eastAsia="仿宋" w:cs="仿宋"/>
          <w:b w:val="0"/>
          <w:bCs/>
          <w:color w:val="auto"/>
          <w:sz w:val="24"/>
          <w:szCs w:val="24"/>
          <w:highlight w:val="none"/>
          <w:lang w:eastAsia="zh-CN"/>
        </w:rPr>
        <w:t>新疆</w:t>
      </w:r>
      <w:r>
        <w:rPr>
          <w:rFonts w:hint="eastAsia" w:ascii="仿宋" w:hAnsi="仿宋" w:eastAsia="仿宋" w:cs="仿宋"/>
          <w:b w:val="0"/>
          <w:bCs/>
          <w:color w:val="auto"/>
          <w:sz w:val="24"/>
          <w:szCs w:val="24"/>
          <w:highlight w:val="none"/>
        </w:rPr>
        <w:t>政府采购云平台要求制作投标文件的将视情况处理（拒收等），由此产生的责任由供应商自行承担。</w:t>
      </w:r>
    </w:p>
    <w:p>
      <w:pPr>
        <w:pStyle w:val="6"/>
        <w:shd w:val="clear" w:color="auto" w:fill="auto"/>
        <w:snapToGrid w:val="0"/>
        <w:spacing w:line="360" w:lineRule="auto"/>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Cs/>
          <w:color w:val="auto"/>
          <w:sz w:val="24"/>
          <w:szCs w:val="24"/>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pPr>
        <w:pStyle w:val="6"/>
        <w:shd w:val="clear" w:color="auto" w:fill="auto"/>
        <w:snapToGrid w:val="0"/>
        <w:spacing w:line="360" w:lineRule="auto"/>
        <w:ind w:firstLine="480" w:firstLineChars="200"/>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备份电子投标文件：通过“政采云”平台电子投标工具制作投标文件所产生的备份文件。</w:t>
      </w:r>
    </w:p>
    <w:p>
      <w:pPr>
        <w:pStyle w:val="6"/>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（2）供应商应对所提供的全部资料的真实性、有效性承担法律责任，电子投标文件中所须加盖公章部分均采用CA签章。</w:t>
      </w:r>
    </w:p>
    <w:p>
      <w:pPr>
        <w:pStyle w:val="6"/>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（3）投标文件以及供应商与采购组织机构就有关投标事宜的所有来往函电，均应以中文汉语书写。除</w:t>
      </w:r>
      <w:r>
        <w:rPr>
          <w:rFonts w:hint="eastAsia" w:ascii="仿宋" w:hAnsi="仿宋" w:eastAsia="仿宋" w:cs="仿宋"/>
          <w:b w:val="0"/>
          <w:bCs/>
          <w:color w:val="auto"/>
          <w:sz w:val="24"/>
          <w:szCs w:val="24"/>
          <w:highlight w:val="none"/>
          <w:lang w:eastAsia="zh-CN"/>
        </w:rPr>
        <w:t>签章</w:t>
      </w:r>
      <w:r>
        <w:rPr>
          <w:rFonts w:hint="eastAsia" w:ascii="仿宋" w:hAnsi="仿宋" w:eastAsia="仿宋" w:cs="仿宋"/>
          <w:b w:val="0"/>
          <w:bCs/>
          <w:color w:val="auto"/>
          <w:sz w:val="24"/>
          <w:szCs w:val="24"/>
          <w:highlight w:val="none"/>
        </w:rPr>
        <w:t>、盖章、专用名称等特殊情形外，以中文汉语以外的文字表述的投标文件视同未提供。</w:t>
      </w:r>
    </w:p>
    <w:p>
      <w:pPr>
        <w:pStyle w:val="6"/>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（4）投标计量单位，采购文件已有明确规定的，使用采购文件规定的计量单位；采购文件没有规定的，应采用中华人民共和国法定计量单位（货币单位：人民币元）。</w:t>
      </w:r>
    </w:p>
    <w:p>
      <w:pPr>
        <w:pStyle w:val="6"/>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（5）若供应商不按采购文件的要求提供资格审查材料，其风险由供应商自行承担。</w:t>
      </w:r>
    </w:p>
    <w:p>
      <w:pPr>
        <w:pStyle w:val="6"/>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（6）与本次投标无关的内容请不要制作在内，确保投标文件有针对性、简洁明了。</w:t>
      </w:r>
    </w:p>
    <w:p>
      <w:pPr>
        <w:shd w:val="clear" w:color="auto" w:fill="auto"/>
        <w:snapToGrid w:val="0"/>
        <w:spacing w:line="360" w:lineRule="auto"/>
        <w:ind w:firstLine="480" w:firstLineChars="200"/>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26.</w:t>
      </w:r>
      <w:r>
        <w:rPr>
          <w:rFonts w:hint="eastAsia" w:ascii="仿宋" w:hAnsi="仿宋" w:eastAsia="仿宋" w:cs="仿宋"/>
          <w:b/>
          <w:bCs/>
          <w:color w:val="auto"/>
          <w:sz w:val="24"/>
          <w:szCs w:val="24"/>
          <w:highlight w:val="none"/>
        </w:rPr>
        <w:t>投标文件的上传</w:t>
      </w:r>
    </w:p>
    <w:p>
      <w:pPr>
        <w:pStyle w:val="6"/>
        <w:shd w:val="clear" w:color="auto" w:fill="auto"/>
        <w:snapToGrid w:val="0"/>
        <w:spacing w:line="360" w:lineRule="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bidi="zh-CN"/>
        </w:rPr>
        <w:t>电子加密投标文件（“.jmbs”格式）</w:t>
      </w:r>
      <w:r>
        <w:rPr>
          <w:rFonts w:hint="eastAsia" w:ascii="仿宋" w:hAnsi="仿宋" w:eastAsia="仿宋" w:cs="仿宋"/>
          <w:b/>
          <w:bCs/>
          <w:color w:val="auto"/>
          <w:sz w:val="24"/>
          <w:szCs w:val="24"/>
          <w:highlight w:val="none"/>
        </w:rPr>
        <w:t>：</w:t>
      </w:r>
    </w:p>
    <w:p>
      <w:pPr>
        <w:pStyle w:val="6"/>
        <w:shd w:val="clear" w:color="auto" w:fill="auto"/>
        <w:snapToGrid w:val="0"/>
        <w:spacing w:line="360" w:lineRule="auto"/>
        <w:ind w:firstLine="600" w:firstLineChars="250"/>
        <w:outlineLvl w:val="9"/>
        <w:rPr>
          <w:rFonts w:hint="eastAsia" w:ascii="仿宋" w:hAnsi="仿宋" w:eastAsia="仿宋" w:cs="仿宋"/>
          <w:b w:val="0"/>
          <w:bCs/>
          <w:color w:val="auto"/>
          <w:sz w:val="24"/>
          <w:szCs w:val="24"/>
          <w:highlight w:val="none"/>
          <w:lang w:bidi="zh-CN"/>
        </w:rPr>
      </w:pPr>
      <w:r>
        <w:rPr>
          <w:rFonts w:hint="eastAsia" w:ascii="仿宋" w:hAnsi="仿宋" w:eastAsia="仿宋" w:cs="仿宋"/>
          <w:b w:val="0"/>
          <w:bCs/>
          <w:color w:val="auto"/>
          <w:sz w:val="24"/>
          <w:szCs w:val="24"/>
          <w:highlight w:val="none"/>
          <w:lang w:bidi="zh-CN"/>
        </w:rPr>
        <w:t>a.</w:t>
      </w:r>
      <w:r>
        <w:rPr>
          <w:rFonts w:hint="eastAsia" w:ascii="仿宋" w:hAnsi="仿宋" w:eastAsia="仿宋" w:cs="仿宋"/>
          <w:b w:val="0"/>
          <w:bCs/>
          <w:color w:val="auto"/>
          <w:kern w:val="0"/>
          <w:sz w:val="24"/>
          <w:szCs w:val="24"/>
          <w:highlight w:val="none"/>
        </w:rPr>
        <w:t xml:space="preserve"> </w:t>
      </w:r>
      <w:r>
        <w:rPr>
          <w:rFonts w:hint="eastAsia" w:ascii="仿宋" w:hAnsi="仿宋" w:eastAsia="仿宋" w:cs="仿宋"/>
          <w:b w:val="0"/>
          <w:bCs/>
          <w:color w:val="auto"/>
          <w:sz w:val="24"/>
          <w:szCs w:val="24"/>
          <w:highlight w:val="none"/>
          <w:lang w:bidi="zh-CN"/>
        </w:rPr>
        <w:t>供应商应在投标截止时间前将电子加密投标文件成功上传递交至新疆政府采购云平台，否则投标无效；</w:t>
      </w:r>
    </w:p>
    <w:p>
      <w:pPr>
        <w:pStyle w:val="6"/>
        <w:shd w:val="clear" w:color="auto" w:fill="auto"/>
        <w:snapToGrid w:val="0"/>
        <w:spacing w:line="360" w:lineRule="auto"/>
        <w:ind w:firstLine="600" w:firstLineChars="250"/>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bidi="zh-CN"/>
        </w:rPr>
        <w:t>b.供应商成功上传电子加密投标文件后，可自行打印投标文件接收回执。</w:t>
      </w:r>
    </w:p>
    <w:p>
      <w:pPr>
        <w:pStyle w:val="6"/>
        <w:shd w:val="clear" w:color="auto" w:fill="auto"/>
        <w:snapToGrid w:val="0"/>
        <w:spacing w:line="360" w:lineRule="auto"/>
        <w:outlineLvl w:val="9"/>
        <w:rPr>
          <w:rFonts w:hint="eastAsia" w:ascii="仿宋" w:hAnsi="仿宋" w:eastAsia="仿宋" w:cs="仿宋"/>
          <w:b/>
          <w:bCs/>
          <w:color w:val="auto"/>
          <w:sz w:val="24"/>
          <w:szCs w:val="24"/>
          <w:highlight w:val="none"/>
          <w:lang w:bidi="zh-CN"/>
        </w:rPr>
      </w:pPr>
      <w:r>
        <w:rPr>
          <w:rFonts w:hint="eastAsia" w:ascii="仿宋" w:hAnsi="仿宋" w:eastAsia="仿宋" w:cs="仿宋"/>
          <w:b/>
          <w:bCs/>
          <w:color w:val="auto"/>
          <w:sz w:val="24"/>
          <w:szCs w:val="24"/>
          <w:highlight w:val="none"/>
        </w:rPr>
        <w:t>（2）</w:t>
      </w:r>
      <w:r>
        <w:rPr>
          <w:rFonts w:hint="eastAsia" w:ascii="仿宋" w:hAnsi="仿宋" w:eastAsia="仿宋" w:cs="仿宋"/>
          <w:b/>
          <w:bCs/>
          <w:color w:val="auto"/>
          <w:sz w:val="24"/>
          <w:szCs w:val="24"/>
          <w:highlight w:val="none"/>
          <w:lang w:bidi="zh-CN"/>
        </w:rPr>
        <w:t>备份投标文件（“.bfbs”格式）：</w:t>
      </w:r>
    </w:p>
    <w:p>
      <w:pPr>
        <w:pStyle w:val="6"/>
        <w:shd w:val="clear" w:color="auto" w:fill="auto"/>
        <w:snapToGrid w:val="0"/>
        <w:spacing w:line="360" w:lineRule="auto"/>
        <w:ind w:firstLine="600" w:firstLineChars="250"/>
        <w:outlineLvl w:val="9"/>
        <w:rPr>
          <w:rFonts w:hint="eastAsia" w:ascii="仿宋" w:hAnsi="仿宋" w:eastAsia="仿宋" w:cs="仿宋"/>
          <w:color w:val="auto"/>
          <w:sz w:val="24"/>
          <w:szCs w:val="24"/>
          <w:highlight w:val="none"/>
          <w:lang w:bidi="zh-CN"/>
        </w:rPr>
      </w:pPr>
      <w:r>
        <w:rPr>
          <w:rFonts w:hint="eastAsia" w:ascii="仿宋" w:hAnsi="仿宋" w:eastAsia="仿宋" w:cs="仿宋"/>
          <w:b w:val="0"/>
          <w:bCs/>
          <w:color w:val="auto"/>
          <w:sz w:val="24"/>
          <w:szCs w:val="24"/>
          <w:highlight w:val="none"/>
          <w:lang w:bidi="zh-CN"/>
        </w:rPr>
        <w:t>a.供应商可以将备份投标文件打包压缩并加密，压缩包命名为“XX单位备份投标文件”，加密密码由供应商自行保管；送达时间以采购代理机构实际接收时间为准。</w:t>
      </w:r>
      <w:r>
        <w:rPr>
          <w:rFonts w:hint="eastAsia" w:ascii="仿宋" w:hAnsi="仿宋" w:eastAsia="仿宋" w:cs="仿宋"/>
          <w:color w:val="auto"/>
          <w:sz w:val="24"/>
          <w:szCs w:val="24"/>
          <w:highlight w:val="none"/>
          <w:lang w:bidi="zh-CN"/>
        </w:rPr>
        <w:t>“备份投标文件”以投标截止时间前指定接收邮箱最终收到的文件为准，逾期或未按要求提供的视为未提供，建议供应商提前1日办理邮件提供事宜（接收人邮箱：</w:t>
      </w:r>
      <w:r>
        <w:rPr>
          <w:rFonts w:hint="eastAsia" w:ascii="仿宋" w:hAnsi="仿宋" w:eastAsia="仿宋" w:cs="仿宋"/>
          <w:color w:val="auto"/>
          <w:sz w:val="24"/>
          <w:szCs w:val="24"/>
          <w:highlight w:val="none"/>
          <w:u w:val="single"/>
          <w:lang w:val="en-US" w:bidi="zh-CN"/>
        </w:rPr>
        <w:t>820740061@qq.com</w:t>
      </w:r>
      <w:r>
        <w:rPr>
          <w:rStyle w:val="28"/>
          <w:rFonts w:hint="eastAsia" w:ascii="仿宋" w:hAnsi="仿宋" w:eastAsia="仿宋" w:cs="仿宋"/>
          <w:color w:val="auto"/>
          <w:sz w:val="24"/>
          <w:szCs w:val="24"/>
          <w:highlight w:val="none"/>
          <w:u w:val="single"/>
          <w:lang w:bidi="zh-CN"/>
        </w:rPr>
        <w:t>，接收人：</w:t>
      </w:r>
      <w:r>
        <w:rPr>
          <w:rFonts w:hint="eastAsia" w:ascii="仿宋" w:hAnsi="仿宋" w:eastAsia="仿宋" w:cs="仿宋"/>
          <w:color w:val="auto"/>
          <w:sz w:val="24"/>
          <w:szCs w:val="24"/>
          <w:highlight w:val="none"/>
          <w:u w:val="single"/>
          <w:lang w:val="en-US" w:bidi="zh-CN"/>
        </w:rPr>
        <w:t>王</w:t>
      </w:r>
      <w:r>
        <w:rPr>
          <w:rFonts w:hint="eastAsia" w:ascii="仿宋" w:hAnsi="仿宋" w:eastAsia="仿宋" w:cs="仿宋"/>
          <w:color w:val="auto"/>
          <w:sz w:val="24"/>
          <w:szCs w:val="24"/>
          <w:highlight w:val="none"/>
          <w:u w:val="single"/>
          <w:lang w:bidi="zh-CN"/>
        </w:rPr>
        <w:t>先生</w:t>
      </w:r>
      <w:r>
        <w:rPr>
          <w:rStyle w:val="28"/>
          <w:rFonts w:hint="eastAsia" w:ascii="仿宋" w:hAnsi="仿宋" w:eastAsia="仿宋" w:cs="仿宋"/>
          <w:color w:val="auto"/>
          <w:sz w:val="24"/>
          <w:szCs w:val="24"/>
          <w:highlight w:val="none"/>
          <w:u w:val="single"/>
          <w:lang w:bidi="zh-CN"/>
        </w:rPr>
        <w:t>，电话：</w:t>
      </w:r>
      <w:r>
        <w:rPr>
          <w:rStyle w:val="28"/>
          <w:rFonts w:hint="eastAsia" w:ascii="仿宋" w:hAnsi="仿宋" w:eastAsia="仿宋" w:cs="仿宋"/>
          <w:color w:val="auto"/>
          <w:sz w:val="24"/>
          <w:szCs w:val="24"/>
          <w:highlight w:val="none"/>
          <w:u w:val="single"/>
          <w:lang w:val="en-US" w:bidi="zh-CN"/>
        </w:rPr>
        <w:t>13779615026</w:t>
      </w:r>
      <w:r>
        <w:rPr>
          <w:rFonts w:hint="eastAsia" w:ascii="仿宋" w:hAnsi="仿宋" w:eastAsia="仿宋" w:cs="仿宋"/>
          <w:color w:val="auto"/>
          <w:sz w:val="24"/>
          <w:szCs w:val="24"/>
          <w:highlight w:val="none"/>
          <w:lang w:bidi="zh-CN"/>
        </w:rPr>
        <w:t>）；</w:t>
      </w:r>
    </w:p>
    <w:p>
      <w:pPr>
        <w:pStyle w:val="6"/>
        <w:shd w:val="clear" w:color="auto" w:fill="auto"/>
        <w:snapToGrid w:val="0"/>
        <w:spacing w:line="360" w:lineRule="auto"/>
        <w:ind w:firstLine="600" w:firstLineChars="250"/>
        <w:outlineLvl w:val="9"/>
        <w:rPr>
          <w:rFonts w:hint="eastAsia" w:ascii="仿宋" w:hAnsi="仿宋" w:eastAsia="仿宋" w:cs="仿宋"/>
          <w:b w:val="0"/>
          <w:bCs/>
          <w:color w:val="auto"/>
          <w:sz w:val="24"/>
          <w:szCs w:val="24"/>
          <w:highlight w:val="none"/>
          <w:lang w:bidi="zh-CN"/>
        </w:rPr>
      </w:pPr>
      <w:r>
        <w:rPr>
          <w:rFonts w:hint="eastAsia" w:ascii="仿宋" w:hAnsi="仿宋" w:eastAsia="仿宋" w:cs="仿宋"/>
          <w:b w:val="0"/>
          <w:bCs/>
          <w:color w:val="auto"/>
          <w:sz w:val="24"/>
          <w:szCs w:val="24"/>
          <w:highlight w:val="none"/>
          <w:lang w:bidi="zh-CN"/>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pPr>
        <w:shd w:val="clear" w:color="auto" w:fill="auto"/>
        <w:snapToGrid w:val="0"/>
        <w:spacing w:line="360" w:lineRule="auto"/>
        <w:ind w:firstLine="480" w:firstLineChars="200"/>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27.</w:t>
      </w:r>
      <w:r>
        <w:rPr>
          <w:rFonts w:hint="eastAsia" w:ascii="仿宋" w:hAnsi="仿宋" w:eastAsia="仿宋" w:cs="仿宋"/>
          <w:b/>
          <w:color w:val="auto"/>
          <w:sz w:val="24"/>
          <w:szCs w:val="24"/>
          <w:highlight w:val="none"/>
        </w:rPr>
        <w:t>投标文件的递交要求</w:t>
      </w:r>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（1）供应商须按照采购文件和政采云平台的要求编制并加密投标文件。在投标文件递交截止时间以前完成投标文件的传输递交，截止时间后递交的投标文件，将被拒收。</w:t>
      </w:r>
    </w:p>
    <w:p>
      <w:pPr>
        <w:shd w:val="clear" w:color="auto" w:fill="auto"/>
        <w:tabs>
          <w:tab w:val="left" w:pos="1418"/>
        </w:tabs>
        <w:autoSpaceDE w:val="0"/>
        <w:autoSpaceDN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（2）备份电子投标文件必须在投标截止时间前送达指定的投标地点。备份电子投标文件在截止时间后提交，采购组织机构将拒绝接收。</w:t>
      </w:r>
    </w:p>
    <w:p>
      <w:pPr>
        <w:shd w:val="clear" w:color="auto" w:fill="auto"/>
        <w:tabs>
          <w:tab w:val="left" w:pos="1418"/>
        </w:tabs>
        <w:autoSpaceDE w:val="0"/>
        <w:autoSpaceDN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（3）如有特殊情况，采购组织机构延长截止时间和开标时间，采购组织机构和供应商的权利和义务将受到新的截止时间和开标时间的约束。</w:t>
      </w:r>
    </w:p>
    <w:p>
      <w:pPr>
        <w:shd w:val="clear" w:color="auto" w:fill="auto"/>
        <w:snapToGrid w:val="0"/>
        <w:spacing w:line="360" w:lineRule="auto"/>
        <w:ind w:firstLine="480" w:firstLineChars="200"/>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28．投标文件的补充、修改与撤回</w:t>
      </w:r>
    </w:p>
    <w:p>
      <w:pPr>
        <w:shd w:val="clear" w:color="auto" w:fill="auto"/>
        <w:tabs>
          <w:tab w:val="left" w:pos="960"/>
          <w:tab w:val="left" w:pos="1418"/>
        </w:tabs>
        <w:autoSpaceDE w:val="0"/>
        <w:autoSpaceDN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bookmarkStart w:id="26" w:name="_Toc469495728"/>
    </w:p>
    <w:p>
      <w:pP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pPr>
        <w:shd w:val="clear" w:color="auto" w:fill="auto"/>
        <w:tabs>
          <w:tab w:val="left" w:pos="960"/>
          <w:tab w:val="left" w:pos="1418"/>
        </w:tabs>
        <w:autoSpaceDE w:val="0"/>
        <w:autoSpaceDN w:val="0"/>
        <w:adjustRightInd w:val="0"/>
        <w:snapToGrid w:val="0"/>
        <w:spacing w:line="360" w:lineRule="auto"/>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（五）开 标、评标和定标</w:t>
      </w:r>
      <w:bookmarkEnd w:id="26"/>
    </w:p>
    <w:p>
      <w:pPr>
        <w:shd w:val="clear" w:color="auto" w:fill="auto"/>
        <w:snapToGrid w:val="0"/>
        <w:spacing w:line="360" w:lineRule="auto"/>
        <w:ind w:firstLine="480" w:firstLineChars="200"/>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29. 开标</w:t>
      </w:r>
    </w:p>
    <w:p>
      <w:pPr>
        <w:shd w:val="clear" w:color="auto" w:fill="auto"/>
        <w:snapToGrid w:val="0"/>
        <w:spacing w:line="360" w:lineRule="auto"/>
        <w:ind w:firstLine="480" w:firstLineChars="200"/>
        <w:outlineLvl w:val="9"/>
        <w:rPr>
          <w:rFonts w:hint="eastAsia" w:ascii="仿宋" w:hAnsi="仿宋" w:eastAsia="仿宋" w:cs="仿宋"/>
          <w:b/>
          <w:bCs/>
          <w:color w:val="auto"/>
          <w:sz w:val="24"/>
          <w:szCs w:val="24"/>
          <w:highlight w:val="none"/>
          <w:lang w:val="en-US" w:eastAsia="zh-CN"/>
        </w:rPr>
      </w:pPr>
      <w:bookmarkStart w:id="27" w:name="_Toc73975822"/>
      <w:r>
        <w:rPr>
          <w:rFonts w:hint="eastAsia" w:ascii="仿宋" w:hAnsi="仿宋" w:eastAsia="仿宋" w:cs="仿宋"/>
          <w:b/>
          <w:bCs/>
          <w:color w:val="auto"/>
          <w:sz w:val="24"/>
          <w:szCs w:val="24"/>
          <w:highlight w:val="none"/>
          <w:lang w:val="en-US" w:eastAsia="zh-CN"/>
        </w:rPr>
        <w:t>29.1开标邀请</w:t>
      </w:r>
      <w:bookmarkEnd w:id="27"/>
    </w:p>
    <w:p>
      <w:pPr>
        <w:pStyle w:val="13"/>
        <w:shd w:val="clear" w:color="auto" w:fill="auto"/>
        <w:snapToGrid w:val="0"/>
        <w:spacing w:line="360" w:lineRule="auto"/>
        <w:ind w:firstLine="480" w:firstLineChars="200"/>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1</w:t>
      </w: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rPr>
        <w:t>开标准备：本项目开标的准备工作由采购组织机构负责落实，开标过程由采购组织机构负责记录；</w:t>
      </w:r>
    </w:p>
    <w:p>
      <w:pPr>
        <w:pStyle w:val="13"/>
        <w:shd w:val="clear" w:color="auto" w:fill="auto"/>
        <w:snapToGrid w:val="0"/>
        <w:spacing w:line="360" w:lineRule="auto"/>
        <w:ind w:firstLine="480" w:firstLineChars="200"/>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2）</w:t>
      </w:r>
      <w:r>
        <w:rPr>
          <w:rFonts w:hint="eastAsia" w:ascii="仿宋" w:hAnsi="仿宋" w:eastAsia="仿宋" w:cs="仿宋"/>
          <w:b w:val="0"/>
          <w:bCs/>
          <w:color w:val="auto"/>
          <w:sz w:val="24"/>
          <w:szCs w:val="24"/>
          <w:highlight w:val="none"/>
        </w:rPr>
        <w:t>开标主持：本项目开标由采购人或者采购代理机构主持；</w:t>
      </w:r>
    </w:p>
    <w:p>
      <w:pPr>
        <w:pStyle w:val="13"/>
        <w:shd w:val="clear" w:color="auto" w:fill="auto"/>
        <w:snapToGrid w:val="0"/>
        <w:spacing w:line="360" w:lineRule="auto"/>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lang w:eastAsia="zh-CN"/>
        </w:rPr>
        <w:t>（</w:t>
      </w:r>
      <w:r>
        <w:rPr>
          <w:rFonts w:hint="eastAsia" w:ascii="仿宋" w:hAnsi="仿宋" w:eastAsia="仿宋" w:cs="仿宋"/>
          <w:b w:val="0"/>
          <w:color w:val="auto"/>
          <w:sz w:val="24"/>
          <w:szCs w:val="24"/>
          <w:highlight w:val="none"/>
          <w:lang w:val="en-US" w:eastAsia="zh-CN"/>
        </w:rPr>
        <w:t>3</w:t>
      </w:r>
      <w:r>
        <w:rPr>
          <w:rFonts w:hint="eastAsia" w:ascii="仿宋" w:hAnsi="仿宋" w:eastAsia="仿宋" w:cs="仿宋"/>
          <w:b w:val="0"/>
          <w:color w:val="auto"/>
          <w:sz w:val="24"/>
          <w:szCs w:val="24"/>
          <w:highlight w:val="none"/>
          <w:lang w:eastAsia="zh-CN"/>
        </w:rPr>
        <w:t>）</w:t>
      </w:r>
      <w:r>
        <w:rPr>
          <w:rFonts w:hint="eastAsia" w:ascii="仿宋" w:hAnsi="仿宋" w:eastAsia="仿宋" w:cs="仿宋"/>
          <w:b w:val="0"/>
          <w:color w:val="auto"/>
          <w:sz w:val="24"/>
          <w:szCs w:val="24"/>
          <w:highlight w:val="none"/>
        </w:rPr>
        <w:t>开标邀请：本项目采用电子交易，采购组织机构将按照采购文件规定的时间通过“</w:t>
      </w:r>
      <w:r>
        <w:rPr>
          <w:rFonts w:hint="eastAsia" w:ascii="仿宋" w:hAnsi="仿宋" w:eastAsia="仿宋" w:cs="仿宋"/>
          <w:b w:val="0"/>
          <w:color w:val="auto"/>
          <w:sz w:val="24"/>
          <w:szCs w:val="24"/>
          <w:highlight w:val="none"/>
          <w:lang w:eastAsia="zh-CN"/>
        </w:rPr>
        <w:t>新疆</w:t>
      </w:r>
      <w:r>
        <w:rPr>
          <w:rFonts w:hint="eastAsia" w:ascii="仿宋" w:hAnsi="仿宋" w:eastAsia="仿宋" w:cs="仿宋"/>
          <w:b w:val="0"/>
          <w:color w:val="auto"/>
          <w:sz w:val="24"/>
          <w:szCs w:val="24"/>
          <w:highlight w:val="none"/>
        </w:rPr>
        <w:t>政府采购云平台，网址：</w:t>
      </w:r>
      <w:r>
        <w:rPr>
          <w:rFonts w:hint="eastAsia" w:ascii="仿宋" w:hAnsi="仿宋" w:eastAsia="仿宋" w:cs="仿宋"/>
          <w:b w:val="0"/>
          <w:color w:val="auto"/>
          <w:sz w:val="24"/>
          <w:szCs w:val="24"/>
          <w:highlight w:val="none"/>
        </w:rPr>
        <w:fldChar w:fldCharType="begin"/>
      </w:r>
      <w:r>
        <w:rPr>
          <w:rFonts w:hint="eastAsia" w:ascii="仿宋" w:hAnsi="仿宋" w:eastAsia="仿宋" w:cs="仿宋"/>
          <w:b w:val="0"/>
          <w:color w:val="auto"/>
          <w:sz w:val="24"/>
          <w:szCs w:val="24"/>
          <w:highlight w:val="none"/>
        </w:rPr>
        <w:instrText xml:space="preserve">HYPERLINK "http://www.zcygov.cn"</w:instrText>
      </w:r>
      <w:r>
        <w:rPr>
          <w:rFonts w:hint="eastAsia" w:ascii="仿宋" w:hAnsi="仿宋" w:eastAsia="仿宋" w:cs="仿宋"/>
          <w:b w:val="0"/>
          <w:color w:val="auto"/>
          <w:sz w:val="24"/>
          <w:szCs w:val="24"/>
          <w:highlight w:val="none"/>
        </w:rPr>
        <w:fldChar w:fldCharType="separate"/>
      </w:r>
      <w:r>
        <w:rPr>
          <w:rStyle w:val="28"/>
          <w:rFonts w:hint="eastAsia" w:ascii="仿宋" w:hAnsi="仿宋" w:eastAsia="仿宋" w:cs="仿宋"/>
          <w:b w:val="0"/>
          <w:color w:val="auto"/>
          <w:sz w:val="24"/>
          <w:szCs w:val="24"/>
          <w:highlight w:val="none"/>
          <w:u w:val="none"/>
        </w:rPr>
        <w:t>www.zcygov.cn</w:t>
      </w:r>
      <w:r>
        <w:rPr>
          <w:rFonts w:hint="eastAsia" w:ascii="仿宋" w:hAnsi="仿宋" w:eastAsia="仿宋" w:cs="仿宋"/>
          <w:color w:val="auto"/>
          <w:sz w:val="24"/>
          <w:szCs w:val="24"/>
          <w:highlight w:val="none"/>
        </w:rPr>
        <w:fldChar w:fldCharType="end"/>
      </w:r>
      <w:r>
        <w:rPr>
          <w:rFonts w:hint="eastAsia" w:ascii="仿宋" w:hAnsi="仿宋" w:eastAsia="仿宋" w:cs="仿宋"/>
          <w:b w:val="0"/>
          <w:color w:val="auto"/>
          <w:sz w:val="24"/>
          <w:szCs w:val="24"/>
          <w:highlight w:val="none"/>
        </w:rPr>
        <w:t>”组织开标、开启投标响应文件，所有供应商均应当准时在线参加。</w:t>
      </w:r>
    </w:p>
    <w:p>
      <w:pPr>
        <w:pStyle w:val="13"/>
        <w:shd w:val="clear" w:color="auto" w:fill="auto"/>
        <w:snapToGrid w:val="0"/>
        <w:spacing w:line="360" w:lineRule="auto"/>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lang w:eastAsia="zh-CN"/>
        </w:rPr>
        <w:t>（</w:t>
      </w:r>
      <w:r>
        <w:rPr>
          <w:rFonts w:hint="eastAsia" w:ascii="仿宋" w:hAnsi="仿宋" w:eastAsia="仿宋" w:cs="仿宋"/>
          <w:b w:val="0"/>
          <w:color w:val="auto"/>
          <w:sz w:val="24"/>
          <w:szCs w:val="24"/>
          <w:highlight w:val="none"/>
          <w:lang w:val="en-US" w:eastAsia="zh-CN"/>
        </w:rPr>
        <w:t>4</w:t>
      </w:r>
      <w:r>
        <w:rPr>
          <w:rFonts w:hint="eastAsia" w:ascii="仿宋" w:hAnsi="仿宋" w:eastAsia="仿宋" w:cs="仿宋"/>
          <w:b w:val="0"/>
          <w:color w:val="auto"/>
          <w:sz w:val="24"/>
          <w:szCs w:val="24"/>
          <w:highlight w:val="none"/>
          <w:lang w:eastAsia="zh-CN"/>
        </w:rPr>
        <w:t>）</w:t>
      </w:r>
      <w:r>
        <w:rPr>
          <w:rFonts w:hint="eastAsia" w:ascii="仿宋" w:hAnsi="仿宋" w:eastAsia="仿宋" w:cs="仿宋"/>
          <w:b w:val="0"/>
          <w:color w:val="auto"/>
          <w:sz w:val="24"/>
          <w:szCs w:val="24"/>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pPr>
        <w:shd w:val="clear" w:color="auto" w:fill="auto"/>
        <w:snapToGrid w:val="0"/>
        <w:spacing w:line="360" w:lineRule="auto"/>
        <w:ind w:firstLine="480" w:firstLineChars="200"/>
        <w:outlineLvl w:val="9"/>
        <w:rPr>
          <w:rFonts w:hint="eastAsia" w:ascii="仿宋" w:hAnsi="仿宋" w:eastAsia="仿宋" w:cs="仿宋"/>
          <w:b/>
          <w:color w:val="auto"/>
          <w:sz w:val="24"/>
          <w:szCs w:val="24"/>
          <w:highlight w:val="none"/>
        </w:rPr>
      </w:pPr>
      <w:bookmarkStart w:id="28" w:name="_Toc73975823"/>
      <w:r>
        <w:rPr>
          <w:rFonts w:hint="eastAsia" w:ascii="仿宋" w:hAnsi="仿宋" w:eastAsia="仿宋" w:cs="仿宋"/>
          <w:b/>
          <w:color w:val="auto"/>
          <w:sz w:val="24"/>
          <w:szCs w:val="24"/>
          <w:highlight w:val="none"/>
          <w:lang w:val="en-US" w:eastAsia="zh-CN"/>
        </w:rPr>
        <w:t>29.2</w:t>
      </w:r>
      <w:r>
        <w:rPr>
          <w:rFonts w:hint="eastAsia" w:ascii="仿宋" w:hAnsi="仿宋" w:eastAsia="仿宋" w:cs="仿宋"/>
          <w:b/>
          <w:bCs/>
          <w:color w:val="auto"/>
          <w:sz w:val="24"/>
          <w:szCs w:val="24"/>
          <w:highlight w:val="none"/>
        </w:rPr>
        <w:t>开标程序（先资格、商务技术后报价）</w:t>
      </w:r>
      <w:bookmarkEnd w:id="28"/>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开标时间到后，主持人宣布开标会议开始。</w:t>
      </w:r>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kern w:val="0"/>
          <w:sz w:val="24"/>
          <w:szCs w:val="24"/>
          <w:highlight w:val="none"/>
        </w:rPr>
        <w:t>投标文件解密（</w:t>
      </w:r>
      <w:r>
        <w:rPr>
          <w:rFonts w:hint="eastAsia" w:ascii="仿宋" w:hAnsi="仿宋" w:eastAsia="仿宋" w:cs="仿宋"/>
          <w:b/>
          <w:color w:val="auto"/>
          <w:kern w:val="0"/>
          <w:sz w:val="24"/>
          <w:szCs w:val="24"/>
          <w:highlight w:val="none"/>
        </w:rPr>
        <w:t>解密规定见《供应商须知前附表》</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w:t>
      </w:r>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kern w:val="0"/>
          <w:sz w:val="24"/>
          <w:szCs w:val="24"/>
          <w:highlight w:val="none"/>
        </w:rPr>
        <w:t>投标文件解密异常情况处理（</w:t>
      </w:r>
      <w:r>
        <w:rPr>
          <w:rFonts w:hint="eastAsia" w:ascii="仿宋" w:hAnsi="仿宋" w:eastAsia="仿宋" w:cs="仿宋"/>
          <w:b/>
          <w:color w:val="auto"/>
          <w:kern w:val="0"/>
          <w:sz w:val="24"/>
          <w:szCs w:val="24"/>
          <w:highlight w:val="none"/>
        </w:rPr>
        <w:t>处理办法见《供应商须知前附表》</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w:t>
      </w:r>
    </w:p>
    <w:p>
      <w:pPr>
        <w:shd w:val="clear" w:color="auto" w:fill="auto"/>
        <w:snapToGrid w:val="0"/>
        <w:spacing w:line="360" w:lineRule="auto"/>
        <w:ind w:firstLine="48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公布投标文件解密情况（投标文件成功解密的供应商名单等信息），组织签署</w:t>
      </w:r>
      <w:r>
        <w:rPr>
          <w:rFonts w:hint="eastAsia" w:ascii="仿宋" w:hAnsi="仿宋" w:eastAsia="仿宋" w:cs="仿宋"/>
          <w:b/>
          <w:bCs/>
          <w:color w:val="auto"/>
          <w:kern w:val="0"/>
          <w:sz w:val="24"/>
          <w:szCs w:val="24"/>
          <w:highlight w:val="none"/>
        </w:rPr>
        <w:t>《政府采购活动现场确认声明书》（疫情防控期间，将通过电子邮件形式组织签署），供应商应在20分钟内通过邮件形式将经签署的《政府采购活动现场确认声明书》发送至采购代理机构指定邮箱820740061@qq.com，逾期发送或未发送的视为无异议</w:t>
      </w:r>
      <w:r>
        <w:rPr>
          <w:rFonts w:hint="eastAsia" w:ascii="仿宋" w:hAnsi="仿宋" w:eastAsia="仿宋" w:cs="仿宋"/>
          <w:color w:val="auto"/>
          <w:kern w:val="0"/>
          <w:sz w:val="24"/>
          <w:szCs w:val="24"/>
          <w:highlight w:val="none"/>
        </w:rPr>
        <w:t>。</w:t>
      </w:r>
    </w:p>
    <w:p>
      <w:pPr>
        <w:shd w:val="clear" w:color="auto" w:fill="auto"/>
        <w:snapToGrid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开启标书信息（资格</w:t>
      </w:r>
      <w:r>
        <w:rPr>
          <w:rFonts w:hint="eastAsia" w:ascii="仿宋" w:hAnsi="仿宋" w:eastAsia="仿宋" w:cs="仿宋"/>
          <w:color w:val="auto"/>
          <w:kern w:val="0"/>
          <w:sz w:val="24"/>
          <w:szCs w:val="24"/>
          <w:highlight w:val="none"/>
          <w:lang w:eastAsia="zh-CN"/>
        </w:rPr>
        <w:t>证明</w:t>
      </w:r>
      <w:r>
        <w:rPr>
          <w:rFonts w:hint="eastAsia" w:ascii="仿宋" w:hAnsi="仿宋" w:eastAsia="仿宋" w:cs="仿宋"/>
          <w:color w:val="auto"/>
          <w:kern w:val="0"/>
          <w:sz w:val="24"/>
          <w:szCs w:val="24"/>
          <w:highlight w:val="none"/>
        </w:rPr>
        <w:t>文件、商务技术文件）。标书信息开启后，首先由采购人或采购代理机构</w:t>
      </w:r>
      <w:r>
        <w:rPr>
          <w:rFonts w:hint="eastAsia" w:ascii="仿宋" w:hAnsi="仿宋" w:eastAsia="仿宋" w:cs="仿宋"/>
          <w:color w:val="auto"/>
          <w:kern w:val="0"/>
          <w:sz w:val="24"/>
          <w:szCs w:val="24"/>
          <w:highlight w:val="none"/>
          <w:lang w:eastAsia="zh-CN"/>
        </w:rPr>
        <w:t>或评审小组</w:t>
      </w:r>
      <w:r>
        <w:rPr>
          <w:rFonts w:hint="eastAsia" w:ascii="仿宋" w:hAnsi="仿宋" w:eastAsia="仿宋" w:cs="仿宋"/>
          <w:color w:val="auto"/>
          <w:kern w:val="0"/>
          <w:sz w:val="24"/>
          <w:szCs w:val="24"/>
          <w:highlight w:val="none"/>
        </w:rPr>
        <w:t>依法对投标供应商的资格</w:t>
      </w:r>
      <w:r>
        <w:rPr>
          <w:rFonts w:hint="eastAsia" w:ascii="仿宋" w:hAnsi="仿宋" w:eastAsia="仿宋" w:cs="仿宋"/>
          <w:color w:val="auto"/>
          <w:kern w:val="0"/>
          <w:sz w:val="24"/>
          <w:szCs w:val="24"/>
          <w:highlight w:val="none"/>
          <w:lang w:eastAsia="zh-CN"/>
        </w:rPr>
        <w:t>证明</w:t>
      </w:r>
      <w:r>
        <w:rPr>
          <w:rFonts w:hint="eastAsia" w:ascii="仿宋" w:hAnsi="仿宋" w:eastAsia="仿宋" w:cs="仿宋"/>
          <w:color w:val="auto"/>
          <w:kern w:val="0"/>
          <w:sz w:val="24"/>
          <w:szCs w:val="24"/>
          <w:highlight w:val="none"/>
        </w:rPr>
        <w:t>文件进行审查（具体见本章“</w:t>
      </w:r>
      <w:r>
        <w:rPr>
          <w:rFonts w:hint="eastAsia" w:ascii="仿宋" w:hAnsi="仿宋" w:eastAsia="仿宋" w:cs="仿宋"/>
          <w:color w:val="auto"/>
          <w:kern w:val="0"/>
          <w:sz w:val="24"/>
          <w:szCs w:val="24"/>
          <w:highlight w:val="none"/>
          <w:lang w:val="en-US" w:eastAsia="zh-CN"/>
        </w:rPr>
        <w:t>29.3</w:t>
      </w:r>
      <w:r>
        <w:rPr>
          <w:rFonts w:hint="eastAsia" w:ascii="仿宋" w:hAnsi="仿宋" w:eastAsia="仿宋" w:cs="仿宋"/>
          <w:color w:val="auto"/>
          <w:kern w:val="0"/>
          <w:sz w:val="24"/>
          <w:szCs w:val="24"/>
          <w:highlight w:val="none"/>
        </w:rPr>
        <w:t xml:space="preserve"> 投标供应商资格审查”）， 审查结束公布投标供应商的资格符合情况。资格审查未获通过的供应商，其商务技术文件及报价文件不再进入评审。</w:t>
      </w:r>
    </w:p>
    <w:p>
      <w:pPr>
        <w:shd w:val="clear" w:color="auto" w:fill="auto"/>
        <w:snapToGrid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商务技术评审结束后，主持人公布商务技术评审无效投标供应商名单和商务技术评审有效投标供应商名单及其商务技术得分情况</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rPr>
        <w:t>商务技术评审无效的供应商，其报价不再进入评审。</w:t>
      </w:r>
    </w:p>
    <w:p>
      <w:pPr>
        <w:shd w:val="clear" w:color="auto" w:fill="auto"/>
        <w:snapToGrid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7</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开启有效投标供应商的报价，公布开标一览表有关内容，</w:t>
      </w:r>
      <w:r>
        <w:rPr>
          <w:rFonts w:hint="eastAsia" w:ascii="仿宋" w:hAnsi="仿宋" w:eastAsia="仿宋" w:cs="仿宋"/>
          <w:color w:val="auto"/>
          <w:sz w:val="24"/>
          <w:szCs w:val="24"/>
          <w:highlight w:val="none"/>
          <w:lang w:bidi="zh-CN"/>
        </w:rPr>
        <w:t>并【开启签章时段】，供应商对开标纪录进行在线签章确认（不予确认的应说明理由，否则视为无异议）</w:t>
      </w:r>
      <w:r>
        <w:rPr>
          <w:rFonts w:hint="eastAsia" w:ascii="仿宋" w:hAnsi="仿宋" w:eastAsia="仿宋" w:cs="仿宋"/>
          <w:color w:val="auto"/>
          <w:kern w:val="0"/>
          <w:sz w:val="24"/>
          <w:szCs w:val="24"/>
          <w:highlight w:val="none"/>
        </w:rPr>
        <w:t>。开标结束后，由评标委员会对报价的合理性、准确性等进行审查核实</w:t>
      </w:r>
      <w:r>
        <w:rPr>
          <w:rFonts w:hint="eastAsia" w:ascii="仿宋" w:hAnsi="仿宋" w:eastAsia="仿宋" w:cs="仿宋"/>
          <w:color w:val="auto"/>
          <w:sz w:val="24"/>
          <w:szCs w:val="24"/>
          <w:highlight w:val="none"/>
        </w:rPr>
        <w:t>。</w:t>
      </w:r>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kern w:val="0"/>
          <w:sz w:val="24"/>
          <w:szCs w:val="24"/>
          <w:highlight w:val="none"/>
        </w:rPr>
        <w:t>评审结束后，采购代理机构在系统上公布评审结果。</w:t>
      </w:r>
    </w:p>
    <w:p>
      <w:pPr>
        <w:shd w:val="clear" w:color="auto" w:fill="auto"/>
        <w:snapToGrid w:val="0"/>
        <w:spacing w:line="360" w:lineRule="auto"/>
        <w:ind w:left="480"/>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特别情况说明：</w:t>
      </w:r>
    </w:p>
    <w:p>
      <w:pPr>
        <w:shd w:val="clear" w:color="auto" w:fill="auto"/>
        <w:snapToGrid w:val="0"/>
        <w:spacing w:line="360" w:lineRule="auto"/>
        <w:ind w:firstLine="424" w:firstLineChars="177"/>
        <w:jc w:val="left"/>
        <w:outlineLvl w:val="9"/>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（1）本项目采用电子交易，如遇“</w:t>
      </w:r>
      <w:r>
        <w:rPr>
          <w:rFonts w:hint="eastAsia" w:ascii="仿宋" w:hAnsi="仿宋" w:eastAsia="仿宋" w:cs="仿宋"/>
          <w:b/>
          <w:color w:val="auto"/>
          <w:kern w:val="0"/>
          <w:sz w:val="24"/>
          <w:szCs w:val="24"/>
          <w:highlight w:val="none"/>
          <w:lang w:eastAsia="zh-CN"/>
        </w:rPr>
        <w:t>新疆</w:t>
      </w:r>
      <w:r>
        <w:rPr>
          <w:rFonts w:hint="eastAsia" w:ascii="仿宋" w:hAnsi="仿宋" w:eastAsia="仿宋" w:cs="仿宋"/>
          <w:b/>
          <w:color w:val="auto"/>
          <w:kern w:val="0"/>
          <w:sz w:val="24"/>
          <w:szCs w:val="24"/>
          <w:highlight w:val="none"/>
        </w:rPr>
        <w:t>政府采购云平台”电子化开标或评审程序调整的，按调整后程序执行。</w:t>
      </w:r>
    </w:p>
    <w:p>
      <w:pPr>
        <w:shd w:val="clear" w:color="auto" w:fill="auto"/>
        <w:snapToGrid w:val="0"/>
        <w:spacing w:line="360" w:lineRule="auto"/>
        <w:ind w:firstLine="424" w:firstLineChars="177"/>
        <w:jc w:val="left"/>
        <w:outlineLvl w:val="9"/>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（2）开标过程中需要相关当事人进行</w:t>
      </w:r>
      <w:r>
        <w:rPr>
          <w:rFonts w:hint="eastAsia" w:ascii="仿宋" w:hAnsi="仿宋" w:eastAsia="仿宋" w:cs="仿宋"/>
          <w:b/>
          <w:color w:val="auto"/>
          <w:kern w:val="0"/>
          <w:sz w:val="24"/>
          <w:szCs w:val="24"/>
          <w:highlight w:val="none"/>
          <w:lang w:eastAsia="zh-CN"/>
        </w:rPr>
        <w:t>签章</w:t>
      </w:r>
      <w:r>
        <w:rPr>
          <w:rFonts w:hint="eastAsia" w:ascii="仿宋" w:hAnsi="仿宋" w:eastAsia="仿宋" w:cs="仿宋"/>
          <w:b/>
          <w:color w:val="auto"/>
          <w:kern w:val="0"/>
          <w:sz w:val="24"/>
          <w:szCs w:val="24"/>
          <w:highlight w:val="none"/>
        </w:rPr>
        <w:t>或盖章确认的材料将通过“政府采购云平台”进行，若因“政府采购云平台”技术问题无法进行</w:t>
      </w:r>
      <w:r>
        <w:rPr>
          <w:rFonts w:hint="eastAsia" w:ascii="仿宋" w:hAnsi="仿宋" w:eastAsia="仿宋" w:cs="仿宋"/>
          <w:b/>
          <w:color w:val="auto"/>
          <w:kern w:val="0"/>
          <w:sz w:val="24"/>
          <w:szCs w:val="24"/>
          <w:highlight w:val="none"/>
          <w:lang w:eastAsia="zh-CN"/>
        </w:rPr>
        <w:t>签章</w:t>
      </w:r>
      <w:r>
        <w:rPr>
          <w:rFonts w:hint="eastAsia" w:ascii="仿宋" w:hAnsi="仿宋" w:eastAsia="仿宋" w:cs="仿宋"/>
          <w:b/>
          <w:color w:val="auto"/>
          <w:kern w:val="0"/>
          <w:sz w:val="24"/>
          <w:szCs w:val="24"/>
          <w:highlight w:val="none"/>
        </w:rPr>
        <w:t>或盖章确认的，采购组织机构将通过电子邮件等形式予以确认，</w:t>
      </w:r>
      <w:r>
        <w:rPr>
          <w:rFonts w:hint="eastAsia" w:ascii="仿宋" w:hAnsi="仿宋" w:eastAsia="仿宋" w:cs="仿宋"/>
          <w:b/>
          <w:color w:val="auto"/>
          <w:kern w:val="0"/>
          <w:sz w:val="24"/>
          <w:szCs w:val="24"/>
          <w:highlight w:val="none"/>
          <w:u w:val="single"/>
        </w:rPr>
        <w:t>请供应商保证办理投标事宜人员电话畅通、网络在线，</w:t>
      </w:r>
      <w:r>
        <w:rPr>
          <w:rFonts w:hint="eastAsia" w:ascii="仿宋" w:hAnsi="仿宋" w:eastAsia="仿宋" w:cs="仿宋"/>
          <w:b/>
          <w:color w:val="auto"/>
          <w:kern w:val="0"/>
          <w:sz w:val="24"/>
          <w:szCs w:val="24"/>
          <w:highlight w:val="none"/>
          <w:u w:val="single"/>
          <w:lang w:eastAsia="zh-CN"/>
        </w:rPr>
        <w:t>签章</w:t>
      </w:r>
      <w:r>
        <w:rPr>
          <w:rFonts w:hint="eastAsia" w:ascii="仿宋" w:hAnsi="仿宋" w:eastAsia="仿宋" w:cs="仿宋"/>
          <w:b/>
          <w:color w:val="auto"/>
          <w:kern w:val="0"/>
          <w:sz w:val="24"/>
          <w:szCs w:val="24"/>
          <w:highlight w:val="none"/>
          <w:u w:val="single"/>
        </w:rPr>
        <w:t>或盖章确认的时间为20分钟。如未及时</w:t>
      </w:r>
      <w:r>
        <w:rPr>
          <w:rFonts w:hint="eastAsia" w:ascii="仿宋" w:hAnsi="仿宋" w:eastAsia="仿宋" w:cs="仿宋"/>
          <w:b/>
          <w:color w:val="auto"/>
          <w:kern w:val="0"/>
          <w:sz w:val="24"/>
          <w:szCs w:val="24"/>
          <w:highlight w:val="none"/>
          <w:u w:val="single"/>
          <w:lang w:eastAsia="zh-CN"/>
        </w:rPr>
        <w:t>签章</w:t>
      </w:r>
      <w:r>
        <w:rPr>
          <w:rFonts w:hint="eastAsia" w:ascii="仿宋" w:hAnsi="仿宋" w:eastAsia="仿宋" w:cs="仿宋"/>
          <w:b/>
          <w:color w:val="auto"/>
          <w:kern w:val="0"/>
          <w:sz w:val="24"/>
          <w:szCs w:val="24"/>
          <w:highlight w:val="none"/>
          <w:u w:val="single"/>
        </w:rPr>
        <w:t>或盖章确认的，视为无异议</w:t>
      </w:r>
      <w:r>
        <w:rPr>
          <w:rFonts w:hint="eastAsia" w:ascii="仿宋" w:hAnsi="仿宋" w:eastAsia="仿宋" w:cs="仿宋"/>
          <w:b/>
          <w:color w:val="auto"/>
          <w:kern w:val="0"/>
          <w:sz w:val="24"/>
          <w:szCs w:val="24"/>
          <w:highlight w:val="none"/>
        </w:rPr>
        <w:t>。</w:t>
      </w:r>
    </w:p>
    <w:p>
      <w:pPr>
        <w:shd w:val="clear" w:color="auto" w:fill="auto"/>
        <w:snapToGrid w:val="0"/>
        <w:spacing w:line="360" w:lineRule="auto"/>
        <w:ind w:firstLine="480" w:firstLineChars="200"/>
        <w:outlineLvl w:val="9"/>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lang w:val="en-US" w:eastAsia="zh-CN"/>
        </w:rPr>
        <w:t>29.3</w:t>
      </w:r>
      <w:r>
        <w:rPr>
          <w:rFonts w:hint="eastAsia" w:ascii="仿宋" w:hAnsi="仿宋" w:eastAsia="仿宋" w:cs="仿宋"/>
          <w:b/>
          <w:color w:val="auto"/>
          <w:kern w:val="0"/>
          <w:sz w:val="24"/>
          <w:szCs w:val="24"/>
          <w:highlight w:val="none"/>
        </w:rPr>
        <w:t xml:space="preserve"> 投标供应商资格审查：</w:t>
      </w:r>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bCs/>
          <w:color w:val="auto"/>
          <w:kern w:val="0"/>
          <w:sz w:val="24"/>
          <w:szCs w:val="24"/>
          <w:highlight w:val="none"/>
        </w:rPr>
        <w:t>开标（标书信息开启）后，采购人或采购代理机构</w:t>
      </w:r>
      <w:r>
        <w:rPr>
          <w:rFonts w:hint="eastAsia" w:ascii="仿宋" w:hAnsi="仿宋" w:eastAsia="仿宋" w:cs="仿宋"/>
          <w:bCs/>
          <w:color w:val="auto"/>
          <w:kern w:val="0"/>
          <w:sz w:val="24"/>
          <w:szCs w:val="24"/>
          <w:highlight w:val="none"/>
          <w:lang w:eastAsia="zh-CN"/>
        </w:rPr>
        <w:t>或</w:t>
      </w:r>
      <w:r>
        <w:rPr>
          <w:rFonts w:hint="eastAsia" w:ascii="仿宋" w:hAnsi="仿宋" w:eastAsia="仿宋" w:cs="仿宋"/>
          <w:color w:val="auto"/>
          <w:kern w:val="0"/>
          <w:sz w:val="24"/>
          <w:szCs w:val="24"/>
          <w:highlight w:val="none"/>
          <w:lang w:eastAsia="zh-CN"/>
        </w:rPr>
        <w:t>评审小组</w:t>
      </w:r>
      <w:r>
        <w:rPr>
          <w:rFonts w:hint="eastAsia" w:ascii="仿宋" w:hAnsi="仿宋" w:eastAsia="仿宋" w:cs="仿宋"/>
          <w:bCs/>
          <w:color w:val="auto"/>
          <w:kern w:val="0"/>
          <w:sz w:val="24"/>
          <w:szCs w:val="24"/>
          <w:highlight w:val="none"/>
        </w:rPr>
        <w:t>首先依法对投标供应商的资格文件进行审查，审查各投标供应商的资格符合情况。</w:t>
      </w:r>
      <w:r>
        <w:rPr>
          <w:rFonts w:hint="eastAsia" w:ascii="仿宋" w:hAnsi="仿宋" w:eastAsia="仿宋" w:cs="仿宋"/>
          <w:color w:val="auto"/>
          <w:sz w:val="24"/>
          <w:szCs w:val="24"/>
          <w:highlight w:val="none"/>
        </w:rPr>
        <w:t>采购人或采购代理机构</w:t>
      </w:r>
      <w:r>
        <w:rPr>
          <w:rFonts w:hint="eastAsia" w:ascii="仿宋" w:hAnsi="仿宋" w:eastAsia="仿宋" w:cs="仿宋"/>
          <w:bCs/>
          <w:color w:val="auto"/>
          <w:kern w:val="0"/>
          <w:sz w:val="24"/>
          <w:szCs w:val="24"/>
          <w:highlight w:val="none"/>
          <w:lang w:eastAsia="zh-CN"/>
        </w:rPr>
        <w:t>或</w:t>
      </w:r>
      <w:r>
        <w:rPr>
          <w:rFonts w:hint="eastAsia" w:ascii="仿宋" w:hAnsi="仿宋" w:eastAsia="仿宋" w:cs="仿宋"/>
          <w:color w:val="auto"/>
          <w:kern w:val="0"/>
          <w:sz w:val="24"/>
          <w:szCs w:val="24"/>
          <w:highlight w:val="none"/>
          <w:lang w:eastAsia="zh-CN"/>
        </w:rPr>
        <w:t>评审小组</w:t>
      </w:r>
      <w:r>
        <w:rPr>
          <w:rFonts w:hint="eastAsia" w:ascii="仿宋" w:hAnsi="仿宋" w:eastAsia="仿宋" w:cs="仿宋"/>
          <w:color w:val="auto"/>
          <w:sz w:val="24"/>
          <w:szCs w:val="24"/>
          <w:highlight w:val="none"/>
        </w:rPr>
        <w:t>对投标供应商所提交的资格证明材料仅负审核的责任。如发现投标供应商所提交的资格证明材料不合法或与事实不符，采购人可取消其中标资格并追究投标供应商的法律责任。</w:t>
      </w:r>
    </w:p>
    <w:p>
      <w:pPr>
        <w:pStyle w:val="6"/>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pPr>
        <w:pStyle w:val="6"/>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（3）</w:t>
      </w:r>
      <w:r>
        <w:rPr>
          <w:rFonts w:hint="eastAsia" w:ascii="仿宋" w:hAnsi="仿宋" w:eastAsia="仿宋" w:cs="仿宋"/>
          <w:b w:val="0"/>
          <w:bCs/>
          <w:color w:val="auto"/>
          <w:kern w:val="0"/>
          <w:sz w:val="24"/>
          <w:szCs w:val="24"/>
          <w:highlight w:val="none"/>
        </w:rPr>
        <w:t>供应商</w:t>
      </w:r>
      <w:r>
        <w:rPr>
          <w:rFonts w:hint="eastAsia" w:ascii="仿宋" w:hAnsi="仿宋" w:eastAsia="仿宋" w:cs="仿宋"/>
          <w:b w:val="0"/>
          <w:bCs/>
          <w:color w:val="auto"/>
          <w:sz w:val="24"/>
          <w:szCs w:val="24"/>
          <w:highlight w:val="none"/>
        </w:rPr>
        <w:t>信用记录查询与使用：</w:t>
      </w:r>
      <w:r>
        <w:rPr>
          <w:rFonts w:hint="eastAsia" w:ascii="仿宋" w:hAnsi="仿宋" w:eastAsia="仿宋" w:cs="仿宋"/>
          <w:b w:val="0"/>
          <w:bCs/>
          <w:color w:val="auto"/>
          <w:kern w:val="0"/>
          <w:sz w:val="24"/>
          <w:szCs w:val="24"/>
          <w:highlight w:val="none"/>
        </w:rPr>
        <w:t>见《供应商须知前附表》。</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评审工作的组织</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采购人或采购代理机构负责组织本项目的评审工作，并依据《政府采购货物和服务招标投标管理办法（财政部第87号令）》第四十五条的相关规定履行职责。</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 评标委员会的组建</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.1评标委员会由采购人或采购代理机构依法组建，成员由采购人代表和评审专家组成，成员人数为五人或以上单数，其中评审专家不少于成员总数的三分之二。</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.2评审专家从</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政府采购云平台专家库中通过随机方式抽取产生。评标委员会成员名单在采购结果公告前保密。</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.评标委员会的职责</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.1审查、评价投标文件是否符合采购文件的商务、技术等实质性要求。</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.2要求供应商对投标文件有关事项作出澄清或者说明。</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.3对投标文件进行比较和评价。</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.4确定中标候选人名单，以及根据采购人委托直接确定中标人。</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.5向采购人、采购代理机构或者有关部门报告评审中发现的违法行为。</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评标原则</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.1评标委员会将遵循公平、公正、科学的原则，对供应商提交的投标文件进行综合评审，评标委员会按照采购文件规定的评标细则进行评分。</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xml:space="preserve">.2客观公正对待所有供应商，对所有投标评价均采用相同的程序和标准。 </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.3评标委员会成员对需要共同认定的事项存在争议的，按照少数服从多数的原则作出结论。持不同意见的评标委员会成员应当在评审报告上签署不同意见及理由，否则视为同意评审报告。</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非单一产品采购项目，采购人应当根据采购项目技术构成、产品价格比重等合理确定核心产品，并在采购文件中载明。多家供应商提供的核心产品品牌相同的，按前款规定处理。      </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34</w:t>
      </w:r>
      <w:r>
        <w:rPr>
          <w:rFonts w:hint="eastAsia" w:ascii="仿宋" w:hAnsi="仿宋" w:eastAsia="仿宋" w:cs="仿宋"/>
          <w:color w:val="auto"/>
          <w:szCs w:val="21"/>
          <w:highlight w:val="none"/>
        </w:rPr>
        <w:t>. 评委纪律</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委员会成员必须严格遵守保密规定，不得泄露评审的有关情况，任何单位和个人不得干扰、影响评标的正常进行，评标委员会成员不得私下与投标供应商接触，不得出现浙江省政府采购活动现场组织管理办法中规定的其他禁止行为。</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评标程序</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 在评审专家中推选评标委员会组长，采购人代表不得担任评标委员会组长。</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3 评审人员对符合资格的供应商的投标文件的有效性、符合性、完整性和响应程度进行审查，确定是否对采购文件作出实质性响应。</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4 评审人员按采购文件规定的评审方法和评审标准，依法独立对供应商投标文件进行评估、比较，并给予评价或打分，不受任何单位和个人的干预。</w:t>
      </w:r>
    </w:p>
    <w:p>
      <w:pPr>
        <w:widowControl/>
        <w:shd w:val="clear" w:color="auto" w:fill="auto"/>
        <w:spacing w:line="440" w:lineRule="exact"/>
        <w:ind w:firstLine="480" w:firstLineChars="200"/>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综合评分法货物项目的价格分值占总分值的比重(即权值)为</w:t>
      </w:r>
      <w:r>
        <w:rPr>
          <w:rFonts w:hint="eastAsia" w:ascii="仿宋" w:hAnsi="仿宋" w:eastAsia="仿宋" w:cs="仿宋"/>
          <w:color w:val="FF0000"/>
          <w:kern w:val="0"/>
          <w:szCs w:val="21"/>
          <w:highlight w:val="none"/>
          <w:lang w:val="en-US" w:eastAsia="zh-CN"/>
        </w:rPr>
        <w:t>30</w:t>
      </w:r>
      <w:r>
        <w:rPr>
          <w:rFonts w:hint="eastAsia" w:ascii="仿宋" w:hAnsi="仿宋" w:eastAsia="仿宋" w:cs="仿宋"/>
          <w:color w:val="FF0000"/>
          <w:kern w:val="0"/>
          <w:szCs w:val="21"/>
          <w:highlight w:val="none"/>
        </w:rPr>
        <w:t>％</w:t>
      </w:r>
      <w:r>
        <w:rPr>
          <w:rFonts w:hint="eastAsia" w:ascii="仿宋" w:hAnsi="仿宋" w:eastAsia="仿宋" w:cs="仿宋"/>
          <w:color w:val="auto"/>
          <w:kern w:val="0"/>
          <w:szCs w:val="21"/>
          <w:highlight w:val="none"/>
        </w:rPr>
        <w:t>，采购项目中含不同采购对象的，以占项目资金比例最高的采购对象确定其项目属性。其价格不列为评分因素，有特殊情况需要在上述规定范围外设定价格分权重的。</w:t>
      </w:r>
    </w:p>
    <w:p>
      <w:pPr>
        <w:widowControl/>
        <w:shd w:val="clear" w:color="auto" w:fill="auto"/>
        <w:spacing w:line="440" w:lineRule="exact"/>
        <w:ind w:firstLine="480"/>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综合评分法中的价格分统一采用低价优先法计算，即满足</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文件要求且最后报价最低的供应商的价格为</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基准价，其价格分为满分。其他供应商的价格分统一按照下列公式计算：</w:t>
      </w:r>
    </w:p>
    <w:p>
      <w:pPr>
        <w:widowControl/>
        <w:shd w:val="clear" w:color="auto" w:fill="auto"/>
        <w:spacing w:line="440" w:lineRule="exact"/>
        <w:ind w:firstLine="480"/>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报价得分=（基准价/</w:t>
      </w: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报价）×价格权值×100</w:t>
      </w:r>
    </w:p>
    <w:p>
      <w:pPr>
        <w:widowControl/>
        <w:shd w:val="clear" w:color="auto" w:fill="auto"/>
        <w:spacing w:line="440" w:lineRule="exact"/>
        <w:ind w:firstLine="480"/>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kern w:val="0"/>
          <w:szCs w:val="21"/>
          <w:highlight w:val="none"/>
        </w:rPr>
        <w:t>项目评审过程中，不得去掉最后报价中的最高报价和最低报价。</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w:t>
      </w: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%以上的）情形的，应由相关人员当场改正或作出书面说明；拒不改正又不作书面说明的，由现场监督员如实记载后存入项目档案资料。</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7 评标委员会根据评审汇总情况和采购文件规定确定中标候选供应商排序名单。</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8 起草评审报告，所有评审人员须在评审报告上</w:t>
      </w:r>
      <w:r>
        <w:rPr>
          <w:rFonts w:hint="eastAsia" w:ascii="仿宋" w:hAnsi="仿宋" w:eastAsia="仿宋" w:cs="仿宋"/>
          <w:color w:val="auto"/>
          <w:szCs w:val="21"/>
          <w:highlight w:val="none"/>
          <w:lang w:eastAsia="zh-CN"/>
        </w:rPr>
        <w:t>签章</w:t>
      </w:r>
      <w:r>
        <w:rPr>
          <w:rFonts w:hint="eastAsia" w:ascii="仿宋" w:hAnsi="仿宋" w:eastAsia="仿宋" w:cs="仿宋"/>
          <w:color w:val="auto"/>
          <w:szCs w:val="21"/>
          <w:highlight w:val="none"/>
        </w:rPr>
        <w:t xml:space="preserve">确认，对自己的评审意见承担法律责任。 </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9 采购组织机构对评标委员会评审专家进行评价。</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10 修改评审结果</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评标结果汇总完成后，除下列情形外，任何人不得修改评标结果：</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（1）分值汇总计算错误的；</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（2）分项评分超出评分标准范围的；</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（3）评标委员会成员对客观评审因素评分不一致的；</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（4）经评标委员会认定评分畸高、畸低的。</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36．澄清、说明或补正的形式</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仿宋" w:hAnsi="仿宋" w:eastAsia="仿宋" w:cs="仿宋"/>
          <w:b/>
          <w:bCs/>
          <w:color w:val="auto"/>
          <w:szCs w:val="21"/>
          <w:highlight w:val="none"/>
          <w:lang w:val="en-US" w:eastAsia="zh-CN"/>
        </w:rPr>
        <w:t>投标供应商澄清、说明或补正时间为20分钟</w:t>
      </w:r>
      <w:r>
        <w:rPr>
          <w:rFonts w:hint="eastAsia" w:ascii="仿宋" w:hAnsi="仿宋" w:eastAsia="仿宋" w:cs="仿宋"/>
          <w:b w:val="0"/>
          <w:bCs w:val="0"/>
          <w:color w:val="auto"/>
          <w:szCs w:val="21"/>
          <w:highlight w:val="none"/>
          <w:lang w:val="en-US" w:eastAsia="zh-CN"/>
        </w:rPr>
        <w:t>。</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36.2投标供应商的澄清、说明或者补正应当通过“政府采购云平台”在线答复的方式提交，并加盖公章（电子印章），或者由法定代表人（负责人）或其授权的代表签章。投标供应商的澄清、说明或者补正不得超出投标文件的范围或者改变投标文件的实质性内容，不接受投标供应商主动对投标文件的澄清、说明或者补正。</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37．错误修正的原则</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37.1 投标函中表述的内容与报价表中不一致的，以报价表为准；报价表中的内容与报价明细表不一致的，以报价表为准；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37.2 投标文件中的大写金额和小写金额不一致的，以大写金额为准；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37.3 单价金额小数点或者百分比有明显错位的，以开标一览表的总价为准，并修改单价；</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37.4 总价金额与按单价汇总金额不一致的，以单价金额计算结果为准；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37.5 若用文字表示的数值与用数字表示的数值不一致，以文字表示的数值为准；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37.6 如有多报（指数量超出采购文件需求）、重报（指同一货物重复报价），其投标总价在评标过程中不予调整，如其中标，其合同价按其投标单价予以调整；</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37.7 对不同文字文本投标文件的解释发生异议的，以中文文本为准；</w:t>
      </w:r>
    </w:p>
    <w:p>
      <w:pPr>
        <w:shd w:val="clear" w:color="auto" w:fill="auto"/>
        <w:spacing w:line="440" w:lineRule="exact"/>
        <w:ind w:firstLine="240" w:firstLineChars="100"/>
        <w:jc w:val="left"/>
        <w:outlineLvl w:val="9"/>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仿宋" w:hAnsi="仿宋" w:eastAsia="仿宋" w:cs="仿宋"/>
          <w:b/>
          <w:bCs/>
          <w:color w:val="auto"/>
          <w:szCs w:val="21"/>
          <w:highlight w:val="none"/>
          <w:lang w:val="en-US" w:eastAsia="zh-CN"/>
        </w:rPr>
        <w:t>修正应当采用电子询标的形式，并加盖公章（电子印章）。</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38．无效投标文件有下列情形之一的，投标文件按无效标处理：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 报名的投标人与参加投标的投标人发生实质性变更的且未提供有效证明的；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38.2投标人提交两份或两份以上内容不同的投标文件，未声明哪一份有效的；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38.3 投标文件非投标人法定代表人签署的，未提供或提供无效的法定代表人授权书；</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38.4 未按招标文件规定装订；</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38.5 投标文件内容未按招标文件规定签章或盖章的；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38.6 投标文件组成漏项或未按规定的格式编制或投标文件正、副本份数不足或内容不全或内容字迹模糊辨认不清的等而导致评标活动无法正常进行；</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38.7 投标人未按招标文件变更通知更改投标文件的；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38.8 《开标一览表》和《投标分项报价表》内容不完整且不接受修正意见或字迹不能辨认的或未提供；</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38.9 标项投标报价超过招标文件规定的预算金额或最高限价</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38.10 因投标人原因编制错误造成经评标委员会修正后的报价达到或超过投标报价的0.5%；</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38.11 投标人的报价明显低于其他通过符合性审查投标人的报价，有可能影响产品质量或者不能诚信履约的，且在规定时间内不能合理说明原因并提供证明材料的；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38.12 未实质性响应招标文件中条款要求的投标文件；</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38.13 不符合招标范围、技术规格、技术标准的要求无法满足采购人使用要求；</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38.14 投标文件附有采购人不能接受的条款；</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38.15 投标文件中提供了赠品或者与本项目采购无关的其他商品、服务；</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38.16 投标文件中承诺的投标有效期少于招标文件中载明的投标有效期；</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38.17投标人串通投标，妨碍其他投标人的竞争行为，损害采购人或者其他投标人的合法权益；</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38.18违反国家及政府部门相关法律、法规、文件规定或经评标委员会认定的其他属于重大偏离；</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39．废标</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39.1 符合招标文件规定废标情形的；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39.2 出现影响采购公正的违法、违规行为的；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39.3 供应商的报价均超过了采购预算（或最高限价），采购人不能支付的;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39.4 因重大变故，采购任务取消的。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40．突发情况处理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40.1 采购过程中出现以下情形，导致电子交易平台无法正常运行，或者无法保证电子交易的公平、公正和安全时，采购组织机构可中止电子交易活动：</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（1）电子交易平台发生故障而无法登录访问的；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（2）电子交易平台应用或数据库出现错误，不能进行正常操作的；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（3）电子交易平台发现严重安全漏洞，有潜在泄密危险的；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（4）病毒发作导致不能进行正常操作的；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（5）其他无法保证电子交易的公平、公正和安全的情况。</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40.2 采购代理机构或评审小组因不可抗力（不可抗力包括但不限于自然灾害、断电、传播疫病等）原因造成电子交易活动无法正常运行的，将采取以下措施：</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（1）短时间内能消除不可抗力因素的，采购代理机构或评审小组在消除不可抗力因素后继续组织电子交易活动；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（2）长时间内无法消除不可抗力因素的，采购代理机构或评审小组将中止电子交易活动。中止电子交易活动的，采购人应当重新组织政府采购活动。</w:t>
      </w:r>
    </w:p>
    <w:p>
      <w:pPr>
        <w:shd w:val="clear" w:color="auto" w:fill="auto"/>
        <w:snapToGrid w:val="0"/>
        <w:spacing w:line="360" w:lineRule="exact"/>
        <w:ind w:firstLine="421"/>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41</w:t>
      </w:r>
      <w:r>
        <w:rPr>
          <w:rFonts w:hint="eastAsia" w:ascii="仿宋" w:hAnsi="仿宋" w:eastAsia="仿宋" w:cs="仿宋"/>
          <w:b/>
          <w:color w:val="auto"/>
          <w:szCs w:val="21"/>
          <w:highlight w:val="none"/>
        </w:rPr>
        <w:t>. 定标</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color w:val="auto"/>
          <w:szCs w:val="21"/>
          <w:highlight w:val="none"/>
        </w:rPr>
        <w:t xml:space="preserve">   </w:t>
      </w:r>
      <w:r>
        <w:rPr>
          <w:rFonts w:hint="eastAsia" w:ascii="仿宋" w:hAnsi="仿宋" w:eastAsia="仿宋" w:cs="仿宋"/>
          <w:b w:val="0"/>
          <w:bCs w:val="0"/>
          <w:color w:val="auto"/>
          <w:szCs w:val="21"/>
          <w:highlight w:val="none"/>
          <w:lang w:val="en-US" w:eastAsia="zh-CN"/>
        </w:rPr>
        <w:t xml:space="preserve"> </w:t>
      </w:r>
      <w:bookmarkStart w:id="29" w:name="_Toc469495729"/>
      <w:r>
        <w:rPr>
          <w:rFonts w:hint="eastAsia" w:ascii="仿宋" w:hAnsi="仿宋" w:eastAsia="仿宋" w:cs="仿宋"/>
          <w:b w:val="0"/>
          <w:bCs w:val="0"/>
          <w:color w:val="auto"/>
          <w:szCs w:val="21"/>
          <w:highlight w:val="none"/>
          <w:lang w:val="en-US" w:eastAsia="zh-CN"/>
        </w:rPr>
        <w:t>41.1采购结果确认（确定中标供应商）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采购结果确认（确定中标供应商）：本项目由采购人根据评标委员会提交的《评审报告》，通过“政府采购云平台”依法确认采购结果、确定中标供应商。具体流程如下：</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（1）采购代理机构将在评审结束后2个工作日内将评审报告送采购人。</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（2）采购人将在收到评审报告之日起5个工作日内，在评审报告推荐的中标候选供应商名单中按顺序确定中标供应商，并将确认意见以书面形式回复采购代理机构。 </w:t>
      </w:r>
    </w:p>
    <w:p>
      <w:pPr>
        <w:shd w:val="clear" w:color="auto" w:fill="auto"/>
        <w:spacing w:line="440" w:lineRule="exact"/>
        <w:ind w:firstLine="240" w:firstLineChars="100"/>
        <w:jc w:val="left"/>
        <w:outlineLvl w:val="9"/>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41.2采购结果经采购人确认后2个工作日内，采购代理机构将在</w:t>
      </w:r>
      <w:r>
        <w:rPr>
          <w:rFonts w:hint="eastAsia" w:ascii="仿宋" w:hAnsi="仿宋" w:eastAsia="仿宋" w:cs="仿宋"/>
          <w:b/>
          <w:bCs/>
          <w:color w:val="auto"/>
          <w:szCs w:val="21"/>
          <w:highlight w:val="none"/>
          <w:lang w:val="en-US" w:eastAsia="zh-CN"/>
        </w:rPr>
        <w:t>克州公共资源交易中心网、新疆政府采购网（www.zjzfcg.gov.cn）上公告采购结果，中标公告期限为1个工作日。</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 中标通知书</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42.1</w:t>
      </w:r>
      <w:r>
        <w:rPr>
          <w:rFonts w:hint="eastAsia" w:ascii="仿宋" w:hAnsi="仿宋" w:eastAsia="仿宋" w:cs="仿宋"/>
          <w:color w:val="auto"/>
          <w:szCs w:val="21"/>
          <w:highlight w:val="none"/>
        </w:rPr>
        <w:t>在</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通知书发出前，招标人将</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侯选人的情况在</w:t>
      </w:r>
      <w:r>
        <w:rPr>
          <w:rFonts w:hint="eastAsia" w:ascii="仿宋" w:hAnsi="仿宋" w:eastAsia="仿宋" w:cs="仿宋"/>
          <w:color w:val="auto"/>
          <w:szCs w:val="21"/>
          <w:highlight w:val="none"/>
          <w:lang w:val="en-US" w:eastAsia="zh-CN"/>
        </w:rPr>
        <w:t>克州公共资源交易中心网、</w:t>
      </w:r>
      <w:r>
        <w:rPr>
          <w:rFonts w:hint="eastAsia" w:ascii="仿宋" w:hAnsi="仿宋" w:eastAsia="仿宋" w:cs="仿宋"/>
          <w:color w:val="auto"/>
          <w:szCs w:val="21"/>
          <w:highlight w:val="none"/>
          <w:lang w:eastAsia="zh-CN"/>
        </w:rPr>
        <w:t>新疆政府采购网</w:t>
      </w:r>
      <w:r>
        <w:rPr>
          <w:rFonts w:hint="eastAsia" w:ascii="仿宋" w:hAnsi="仿宋" w:eastAsia="仿宋" w:cs="仿宋"/>
          <w:color w:val="auto"/>
          <w:szCs w:val="21"/>
          <w:highlight w:val="none"/>
        </w:rPr>
        <w:t>予以公示，</w:t>
      </w:r>
      <w:r>
        <w:rPr>
          <w:rFonts w:hint="eastAsia" w:ascii="仿宋" w:hAnsi="仿宋" w:eastAsia="仿宋" w:cs="仿宋"/>
          <w:b/>
          <w:bCs/>
          <w:color w:val="auto"/>
          <w:szCs w:val="21"/>
          <w:highlight w:val="none"/>
        </w:rPr>
        <w:t>公示期为</w:t>
      </w:r>
      <w:r>
        <w:rPr>
          <w:rFonts w:hint="eastAsia" w:ascii="仿宋" w:hAnsi="仿宋" w:eastAsia="仿宋" w:cs="仿宋"/>
          <w:b/>
          <w:bCs/>
          <w:color w:val="auto"/>
          <w:szCs w:val="21"/>
          <w:highlight w:val="none"/>
          <w:lang w:eastAsia="zh-CN"/>
        </w:rPr>
        <w:t>一</w:t>
      </w:r>
      <w:r>
        <w:rPr>
          <w:rFonts w:hint="eastAsia" w:ascii="仿宋" w:hAnsi="仿宋" w:eastAsia="仿宋" w:cs="仿宋"/>
          <w:b/>
          <w:bCs/>
          <w:color w:val="auto"/>
          <w:szCs w:val="21"/>
          <w:highlight w:val="none"/>
        </w:rPr>
        <w:t>个工作日。</w:t>
      </w:r>
      <w:r>
        <w:rPr>
          <w:rFonts w:hint="eastAsia" w:ascii="仿宋" w:hAnsi="仿宋" w:eastAsia="仿宋" w:cs="仿宋"/>
          <w:b/>
          <w:bCs/>
          <w:color w:val="auto"/>
          <w:szCs w:val="21"/>
          <w:highlight w:val="none"/>
          <w:lang w:eastAsia="zh-CN"/>
        </w:rPr>
        <w:t>待公示期结束后，</w:t>
      </w:r>
      <w:r>
        <w:rPr>
          <w:rFonts w:hint="eastAsia" w:ascii="仿宋" w:hAnsi="仿宋" w:eastAsia="仿宋" w:cs="仿宋"/>
          <w:b w:val="0"/>
          <w:bCs w:val="0"/>
          <w:color w:val="auto"/>
          <w:szCs w:val="21"/>
          <w:highlight w:val="none"/>
          <w:lang w:val="en-US" w:eastAsia="zh-CN"/>
        </w:rPr>
        <w:t>采购组织机构向中标人发出中标通知书。</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pPr>
        <w:shd w:val="clear" w:color="auto" w:fill="auto"/>
        <w:spacing w:before="156" w:beforeLines="50" w:line="440" w:lineRule="exact"/>
        <w:jc w:val="center"/>
        <w:outlineLvl w:val="9"/>
        <w:rPr>
          <w:rFonts w:hint="eastAsia" w:ascii="仿宋" w:hAnsi="仿宋" w:eastAsia="仿宋" w:cs="仿宋"/>
          <w:b/>
          <w:bCs/>
          <w:color w:val="auto"/>
          <w:sz w:val="24"/>
          <w:highlight w:val="none"/>
        </w:rPr>
      </w:pPr>
      <w:r>
        <w:rPr>
          <w:rFonts w:hint="eastAsia" w:ascii="仿宋" w:hAnsi="仿宋" w:eastAsia="仿宋" w:cs="仿宋"/>
          <w:b/>
          <w:bCs/>
          <w:color w:val="auto"/>
          <w:sz w:val="28"/>
          <w:szCs w:val="28"/>
          <w:highlight w:val="none"/>
        </w:rPr>
        <w:t>（六）合同的授予</w:t>
      </w:r>
      <w:bookmarkEnd w:id="29"/>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bookmarkStart w:id="30" w:name="_Toc73975842"/>
      <w:bookmarkStart w:id="31" w:name="_Toc469495730"/>
      <w:r>
        <w:rPr>
          <w:rFonts w:hint="eastAsia" w:ascii="仿宋" w:hAnsi="仿宋" w:eastAsia="仿宋" w:cs="仿宋"/>
          <w:b w:val="0"/>
          <w:bCs w:val="0"/>
          <w:color w:val="auto"/>
          <w:szCs w:val="21"/>
          <w:highlight w:val="none"/>
          <w:lang w:val="en-US" w:eastAsia="zh-CN"/>
        </w:rPr>
        <w:t>43．履约保证金</w:t>
      </w:r>
      <w:bookmarkEnd w:id="30"/>
    </w:p>
    <w:p>
      <w:pPr>
        <w:shd w:val="clear" w:color="auto" w:fill="auto"/>
        <w:spacing w:line="440" w:lineRule="exact"/>
        <w:ind w:firstLine="240" w:firstLineChars="100"/>
        <w:jc w:val="left"/>
        <w:outlineLvl w:val="9"/>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Cs w:val="21"/>
          <w:highlight w:val="none"/>
          <w:lang w:val="en-US" w:eastAsia="zh-CN"/>
        </w:rPr>
        <w:t xml:space="preserve">43.1 </w:t>
      </w:r>
      <w:r>
        <w:rPr>
          <w:rFonts w:hint="eastAsia" w:ascii="仿宋" w:hAnsi="仿宋" w:eastAsia="仿宋" w:cs="仿宋"/>
          <w:b w:val="0"/>
          <w:bCs w:val="0"/>
          <w:color w:val="auto"/>
          <w:sz w:val="24"/>
          <w:szCs w:val="24"/>
          <w:highlight w:val="none"/>
          <w:lang w:val="zh-CN"/>
        </w:rPr>
        <w:t>成交人</w:t>
      </w:r>
      <w:r>
        <w:rPr>
          <w:rFonts w:hint="eastAsia" w:ascii="仿宋" w:hAnsi="仿宋" w:eastAsia="仿宋" w:cs="仿宋"/>
          <w:b w:val="0"/>
          <w:bCs w:val="0"/>
          <w:color w:val="auto"/>
          <w:sz w:val="24"/>
          <w:szCs w:val="24"/>
          <w:highlight w:val="none"/>
        </w:rPr>
        <w:t>应在领取《</w:t>
      </w:r>
      <w:r>
        <w:rPr>
          <w:rFonts w:hint="eastAsia" w:ascii="仿宋" w:hAnsi="仿宋" w:eastAsia="仿宋" w:cs="仿宋"/>
          <w:b w:val="0"/>
          <w:bCs w:val="0"/>
          <w:color w:val="auto"/>
          <w:sz w:val="24"/>
          <w:szCs w:val="24"/>
          <w:highlight w:val="none"/>
          <w:lang w:val="zh-CN"/>
        </w:rPr>
        <w:t>成交通知书</w:t>
      </w:r>
      <w:r>
        <w:rPr>
          <w:rFonts w:hint="eastAsia" w:ascii="仿宋" w:hAnsi="仿宋" w:eastAsia="仿宋" w:cs="仿宋"/>
          <w:b w:val="0"/>
          <w:bCs w:val="0"/>
          <w:color w:val="auto"/>
          <w:sz w:val="24"/>
          <w:szCs w:val="24"/>
          <w:highlight w:val="none"/>
        </w:rPr>
        <w:t>》后的十个日历日内，办理履约保证金，</w:t>
      </w:r>
      <w:r>
        <w:rPr>
          <w:rFonts w:hint="eastAsia" w:ascii="仿宋" w:hAnsi="仿宋" w:eastAsia="仿宋" w:cs="仿宋"/>
          <w:b w:val="0"/>
          <w:bCs w:val="0"/>
          <w:color w:val="auto"/>
          <w:sz w:val="24"/>
          <w:szCs w:val="24"/>
          <w:highlight w:val="none"/>
          <w:lang w:val="zh-CN"/>
        </w:rPr>
        <w:t>金额不超过合同总价的10%，</w:t>
      </w:r>
      <w:r>
        <w:rPr>
          <w:rFonts w:hint="eastAsia" w:ascii="仿宋" w:hAnsi="仿宋" w:eastAsia="仿宋" w:cs="仿宋"/>
          <w:b w:val="0"/>
          <w:bCs w:val="0"/>
          <w:color w:val="auto"/>
          <w:sz w:val="24"/>
          <w:szCs w:val="24"/>
          <w:highlight w:val="none"/>
        </w:rPr>
        <w:t>否则招标人可取消</w:t>
      </w:r>
      <w:r>
        <w:rPr>
          <w:rFonts w:hint="eastAsia" w:ascii="仿宋" w:hAnsi="仿宋" w:eastAsia="仿宋" w:cs="仿宋"/>
          <w:b w:val="0"/>
          <w:bCs w:val="0"/>
          <w:color w:val="auto"/>
          <w:sz w:val="24"/>
          <w:szCs w:val="24"/>
          <w:highlight w:val="none"/>
          <w:lang w:val="zh-CN"/>
        </w:rPr>
        <w:t>成交人</w:t>
      </w:r>
      <w:r>
        <w:rPr>
          <w:rFonts w:hint="eastAsia" w:ascii="仿宋" w:hAnsi="仿宋" w:eastAsia="仿宋" w:cs="仿宋"/>
          <w:b w:val="0"/>
          <w:bCs w:val="0"/>
          <w:color w:val="auto"/>
          <w:sz w:val="24"/>
          <w:szCs w:val="24"/>
          <w:highlight w:val="none"/>
        </w:rPr>
        <w:t>的</w:t>
      </w:r>
      <w:r>
        <w:rPr>
          <w:rFonts w:hint="eastAsia" w:ascii="仿宋" w:hAnsi="仿宋" w:eastAsia="仿宋" w:cs="仿宋"/>
          <w:b w:val="0"/>
          <w:bCs w:val="0"/>
          <w:color w:val="auto"/>
          <w:sz w:val="24"/>
          <w:szCs w:val="24"/>
          <w:highlight w:val="none"/>
          <w:lang w:val="zh-CN"/>
        </w:rPr>
        <w:t>成交</w:t>
      </w:r>
      <w:r>
        <w:rPr>
          <w:rFonts w:hint="eastAsia" w:ascii="仿宋" w:hAnsi="仿宋" w:eastAsia="仿宋" w:cs="仿宋"/>
          <w:b w:val="0"/>
          <w:bCs w:val="0"/>
          <w:color w:val="auto"/>
          <w:sz w:val="24"/>
          <w:szCs w:val="24"/>
          <w:highlight w:val="none"/>
        </w:rPr>
        <w:t>资格，并没收其投标保证金</w:t>
      </w:r>
      <w:r>
        <w:rPr>
          <w:rFonts w:hint="eastAsia" w:ascii="仿宋" w:hAnsi="仿宋" w:eastAsia="仿宋" w:cs="仿宋"/>
          <w:b w:val="0"/>
          <w:bCs w:val="0"/>
          <w:color w:val="auto"/>
          <w:sz w:val="24"/>
          <w:szCs w:val="24"/>
          <w:highlight w:val="none"/>
          <w:lang w:eastAsia="zh-CN"/>
        </w:rPr>
        <w:t>。</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（鼓励以银行、保险公司出具的履约保函形式提交；若以电汇、银行转账方式提交的，必须转到采购人的指定账户）。</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43.2 签订合同后，如中标供应商不按合同约定履约的，履约保证金不予退还，履约保证金不足以赔偿损失的，按实际损失赔偿。</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43.3 如果中标供应商在建设期内没有涉及采购人的应付而未付金额或违约行为，采购人在项目验收合格后或提前终止合同后全额无息退还履约保证金。</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bookmarkStart w:id="32" w:name="_Toc73975843"/>
      <w:r>
        <w:rPr>
          <w:rFonts w:hint="eastAsia" w:ascii="仿宋" w:hAnsi="仿宋" w:eastAsia="仿宋" w:cs="仿宋"/>
          <w:b w:val="0"/>
          <w:bCs w:val="0"/>
          <w:color w:val="auto"/>
          <w:szCs w:val="21"/>
          <w:highlight w:val="none"/>
          <w:lang w:val="en-US" w:eastAsia="zh-CN"/>
        </w:rPr>
        <w:t>44．签订合同及公告</w:t>
      </w:r>
      <w:bookmarkEnd w:id="32"/>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44.1采购人在中标通知书发出之日起30日内与中标供应商签订合同。</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44.2中标供应商拖延、拒签合同的,取消中标资格。</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44.3 采购文件、中标供应商的投标文件及评标过程中有关澄清文件等均作为签订合同的依据。所签订的合同不得对采购文件和中标供应商的投标文件的内容作实质性修改。</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44.4采购人应当自政府采购合同签订之日起2个工作日内，在省级以上财政部门指定的政府采购信息发布媒体及相关网站上公告。</w:t>
      </w:r>
    </w:p>
    <w:p>
      <w:pPr>
        <w:shd w:val="clear" w:color="auto" w:fill="auto"/>
        <w:spacing w:line="440" w:lineRule="exact"/>
        <w:ind w:firstLine="240" w:firstLineChars="100"/>
        <w:jc w:val="left"/>
        <w:outlineLvl w:val="9"/>
        <w:rPr>
          <w:rFonts w:hint="eastAsia" w:ascii="仿宋" w:hAnsi="仿宋" w:eastAsia="仿宋" w:cs="仿宋"/>
          <w:b/>
          <w:bCs/>
          <w:color w:val="auto"/>
          <w:sz w:val="28"/>
          <w:szCs w:val="28"/>
          <w:highlight w:val="none"/>
        </w:rPr>
      </w:pPr>
      <w:r>
        <w:rPr>
          <w:rFonts w:hint="eastAsia" w:ascii="仿宋" w:hAnsi="仿宋" w:eastAsia="仿宋" w:cs="仿宋"/>
          <w:b w:val="0"/>
          <w:bCs w:val="0"/>
          <w:color w:val="auto"/>
          <w:szCs w:val="21"/>
          <w:highlight w:val="none"/>
          <w:lang w:val="en-US" w:eastAsia="zh-CN"/>
        </w:rPr>
        <w:t>44.5采购人应当自政府采购合同签订之日起7个工作日内，将政府采购合同副本报同级人民政府财政部门备案以及采购代理机构存档。</w:t>
      </w:r>
    </w:p>
    <w:p>
      <w:pPr>
        <w:shd w:val="clear" w:color="auto" w:fill="auto"/>
        <w:adjustRightInd w:val="0"/>
        <w:snapToGrid w:val="0"/>
        <w:spacing w:line="440" w:lineRule="exact"/>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（七）纪律和监督</w:t>
      </w:r>
      <w:bookmarkEnd w:id="31"/>
    </w:p>
    <w:p>
      <w:pPr>
        <w:shd w:val="clear" w:color="auto" w:fill="auto"/>
        <w:spacing w:line="440" w:lineRule="exact"/>
        <w:ind w:firstLine="352" w:firstLineChars="147"/>
        <w:jc w:val="left"/>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45</w:t>
      </w:r>
      <w:r>
        <w:rPr>
          <w:rFonts w:hint="eastAsia" w:ascii="仿宋" w:hAnsi="仿宋" w:eastAsia="仿宋" w:cs="仿宋"/>
          <w:b/>
          <w:color w:val="auto"/>
          <w:szCs w:val="21"/>
          <w:highlight w:val="none"/>
        </w:rPr>
        <w:t xml:space="preserve">. 对招标人的纪律要求 </w:t>
      </w:r>
    </w:p>
    <w:p>
      <w:pPr>
        <w:shd w:val="clear" w:color="auto" w:fill="auto"/>
        <w:adjustRightInd w:val="0"/>
        <w:snapToGrid w:val="0"/>
        <w:spacing w:line="440" w:lineRule="exact"/>
        <w:ind w:firstLine="360" w:firstLineChars="150"/>
        <w:outlineLvl w:val="9"/>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45</w:t>
      </w:r>
      <w:r>
        <w:rPr>
          <w:rFonts w:hint="eastAsia" w:ascii="仿宋" w:hAnsi="仿宋" w:eastAsia="仿宋" w:cs="仿宋"/>
          <w:color w:val="auto"/>
          <w:kern w:val="10"/>
          <w:szCs w:val="21"/>
          <w:highlight w:val="none"/>
        </w:rPr>
        <w:t xml:space="preserve">.1招标人不得泄漏招标投标活动中应当保密的情况和资料，不得与投标人串通损害国家利益，社会公共利益或者他人合法权益。 </w:t>
      </w:r>
    </w:p>
    <w:p>
      <w:pPr>
        <w:shd w:val="clear" w:color="auto" w:fill="auto"/>
        <w:spacing w:line="440" w:lineRule="exact"/>
        <w:ind w:firstLine="352" w:firstLineChars="147"/>
        <w:jc w:val="left"/>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46</w:t>
      </w:r>
      <w:r>
        <w:rPr>
          <w:rFonts w:hint="eastAsia" w:ascii="仿宋" w:hAnsi="仿宋" w:eastAsia="仿宋" w:cs="仿宋"/>
          <w:b/>
          <w:color w:val="auto"/>
          <w:szCs w:val="21"/>
          <w:highlight w:val="none"/>
        </w:rPr>
        <w:t xml:space="preserve">. 对投标人的纪律要求 </w:t>
      </w:r>
    </w:p>
    <w:p>
      <w:pPr>
        <w:shd w:val="clear" w:color="auto" w:fill="auto"/>
        <w:adjustRightInd w:val="0"/>
        <w:snapToGrid w:val="0"/>
        <w:spacing w:line="440" w:lineRule="exact"/>
        <w:ind w:firstLine="360" w:firstLineChars="150"/>
        <w:outlineLvl w:val="9"/>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46</w:t>
      </w:r>
      <w:r>
        <w:rPr>
          <w:rFonts w:hint="eastAsia" w:ascii="仿宋" w:hAnsi="仿宋" w:eastAsia="仿宋" w:cs="仿宋"/>
          <w:color w:val="auto"/>
          <w:kern w:val="10"/>
          <w:szCs w:val="21"/>
          <w:highlight w:val="none"/>
        </w:rPr>
        <w:t>.1投标人不得相互串通投标或者与招标人串通投标，不得向招标人或者评标委员会成员行贿谋取中标，不得以他人名义投标或者以其他方式弄虚作假骗取中标；投标人不得以任何方式干扰、影响评标工作。</w:t>
      </w:r>
    </w:p>
    <w:p>
      <w:pPr>
        <w:shd w:val="clear" w:color="auto" w:fill="auto"/>
        <w:spacing w:line="440" w:lineRule="exact"/>
        <w:ind w:firstLine="352" w:firstLineChars="147"/>
        <w:jc w:val="left"/>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47</w:t>
      </w:r>
      <w:r>
        <w:rPr>
          <w:rFonts w:hint="eastAsia" w:ascii="仿宋" w:hAnsi="仿宋" w:eastAsia="仿宋" w:cs="仿宋"/>
          <w:b/>
          <w:color w:val="auto"/>
          <w:szCs w:val="21"/>
          <w:highlight w:val="none"/>
        </w:rPr>
        <w:t xml:space="preserve">. 对评标委员会成员的纪律要求 </w:t>
      </w:r>
    </w:p>
    <w:p>
      <w:pPr>
        <w:shd w:val="clear" w:color="auto" w:fill="auto"/>
        <w:adjustRightInd w:val="0"/>
        <w:snapToGrid w:val="0"/>
        <w:spacing w:line="440" w:lineRule="exact"/>
        <w:ind w:firstLine="360" w:firstLineChars="150"/>
        <w:outlineLvl w:val="9"/>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.1评标委员会成员不得收受他人的财物或者其他好处，不得向他人透漏对投标文件的评审和比较、中标候选人的推荐情况以及评标有关的其他情况。</w:t>
      </w:r>
    </w:p>
    <w:p>
      <w:pPr>
        <w:shd w:val="clear" w:color="auto" w:fill="auto"/>
        <w:adjustRightInd w:val="0"/>
        <w:snapToGrid w:val="0"/>
        <w:spacing w:line="440" w:lineRule="exact"/>
        <w:ind w:firstLine="360" w:firstLineChars="150"/>
        <w:outlineLvl w:val="9"/>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 xml:space="preserve">.2在评标活动中，评标委员会成员不得擅离职守，影响评标程序正常进行，不得使用第三章“评标办法”没有规定的评审因素和标准进行评标。 </w:t>
      </w:r>
    </w:p>
    <w:p>
      <w:pPr>
        <w:shd w:val="clear" w:color="auto" w:fill="auto"/>
        <w:spacing w:line="440" w:lineRule="exact"/>
        <w:ind w:firstLine="352" w:firstLineChars="147"/>
        <w:jc w:val="left"/>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48</w:t>
      </w:r>
      <w:r>
        <w:rPr>
          <w:rFonts w:hint="eastAsia" w:ascii="仿宋" w:hAnsi="仿宋" w:eastAsia="仿宋" w:cs="仿宋"/>
          <w:b/>
          <w:color w:val="auto"/>
          <w:szCs w:val="21"/>
          <w:highlight w:val="none"/>
        </w:rPr>
        <w:t xml:space="preserve">. 对与评标活动有关的工作人员的纪律要求 </w:t>
      </w:r>
    </w:p>
    <w:p>
      <w:pPr>
        <w:shd w:val="clear" w:color="auto" w:fill="auto"/>
        <w:adjustRightInd w:val="0"/>
        <w:snapToGrid w:val="0"/>
        <w:spacing w:line="440" w:lineRule="exact"/>
        <w:ind w:firstLine="360" w:firstLineChars="150"/>
        <w:outlineLvl w:val="9"/>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rPr>
        <w:t>4</w:t>
      </w:r>
      <w:r>
        <w:rPr>
          <w:rFonts w:hint="eastAsia" w:ascii="仿宋" w:hAnsi="仿宋" w:eastAsia="仿宋" w:cs="仿宋"/>
          <w:color w:val="auto"/>
          <w:kern w:val="10"/>
          <w:szCs w:val="21"/>
          <w:highlight w:val="none"/>
          <w:lang w:val="en-US" w:eastAsia="zh-CN"/>
        </w:rPr>
        <w:t>8</w:t>
      </w:r>
      <w:r>
        <w:rPr>
          <w:rFonts w:hint="eastAsia" w:ascii="仿宋" w:hAnsi="仿宋" w:eastAsia="仿宋" w:cs="仿宋"/>
          <w:color w:val="auto"/>
          <w:kern w:val="10"/>
          <w:szCs w:val="21"/>
          <w:highlight w:val="none"/>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hd w:val="clear" w:color="auto" w:fill="auto"/>
        <w:spacing w:before="156" w:beforeLines="50" w:after="156" w:afterLines="50" w:line="500" w:lineRule="exact"/>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（八）质疑与投诉</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49．质疑和投诉</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49.1.供应商认为采购文件、采购过程和中标、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（一）对可以质疑的采购文件提出质疑的，为收到采购文件之日或者采购文件公告期限届满之日；</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（二）对采购过程提出质疑的，为各采购程序环节结束之日；</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（三）对中标或者成交结果提出质疑的，为中标或者成交结果公告期限届满之日。</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供应商为自然人的，应当由本人签章；供应商为法人或者其他组织的，应当由法定代表人、主要负责人，或者其授权代表签章或者盖章，并加盖公章。</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49.3供应商质疑、投诉应当有明确的请求和必要的证明材料。供应商投诉的事项不得超出已质疑事项的范围。采购人及采购代理机构按《政府采购质疑和投诉办法》进行处理供应商质疑事项。</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49.4质疑供应商对采购人、采购代理机构的质疑答复不满意，或者采购人、采购代理机构未在规定期限内作出答复的，供应商可以在答复期满后15个工作日内向同级财政部门提起投诉。</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49.5供应商有下列情形之一的，采购代理机构和阿图什市财政局，将其列入不良行为记录名单：</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（一）一年内三次以上质疑均查无实据的；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（二）捏造事实或者提供虚假质疑材料的。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（三）以非法手段取得证明材料。证据来源的合法性存在明显疑问，质疑人无法证明其取得方式合法的，视为以非法手段取得证明材料。</w:t>
      </w:r>
    </w:p>
    <w:p>
      <w:pPr>
        <w:shd w:val="clear" w:color="auto" w:fill="auto"/>
        <w:spacing w:line="360" w:lineRule="exact"/>
        <w:jc w:val="center"/>
        <w:outlineLvl w:val="9"/>
        <w:rPr>
          <w:rFonts w:hint="eastAsia" w:ascii="仿宋" w:hAnsi="仿宋" w:eastAsia="仿宋" w:cs="仿宋"/>
          <w:color w:val="auto"/>
          <w:sz w:val="30"/>
          <w:szCs w:val="30"/>
          <w:highlight w:val="none"/>
        </w:rPr>
      </w:pPr>
    </w:p>
    <w:p>
      <w:pPr>
        <w:shd w:val="clear" w:color="auto" w:fill="auto"/>
        <w:jc w:val="left"/>
        <w:outlineLvl w:val="9"/>
        <w:rPr>
          <w:rFonts w:hint="eastAsia" w:ascii="仿宋" w:hAnsi="仿宋" w:eastAsia="仿宋" w:cs="仿宋"/>
          <w:b/>
          <w:bCs/>
          <w:color w:val="auto"/>
          <w:sz w:val="21"/>
          <w:szCs w:val="21"/>
          <w:highlight w:val="none"/>
          <w:lang w:eastAsia="zh-CN"/>
        </w:rPr>
      </w:pPr>
    </w:p>
    <w:p>
      <w:pPr>
        <w:shd w:val="clear" w:color="auto" w:fill="auto"/>
        <w:jc w:val="left"/>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附件：</w:t>
      </w:r>
    </w:p>
    <w:p>
      <w:pPr>
        <w:shd w:val="clear" w:color="auto" w:fill="auto"/>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32"/>
          <w:szCs w:val="32"/>
          <w:highlight w:val="none"/>
          <w:lang w:eastAsia="zh-CN"/>
        </w:rPr>
        <w:t>政府采购投诉书（范本）、质疑函范本</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政府采购投诉书（范本）</w:t>
      </w:r>
    </w:p>
    <w:p>
      <w:pPr>
        <w:pStyle w:val="18"/>
        <w:outlineLvl w:val="9"/>
        <w:rPr>
          <w:rFonts w:hint="eastAsia"/>
          <w:highlight w:val="none"/>
        </w:rPr>
      </w:pP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投诉人：                         法定代表人：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地址：                           电话：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委托代理人姓名：                 职务：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住址：                           联系电话：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被投诉人：                       法定代表人：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地址：                            电话：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我公司参加了     年    月    日被投诉人组织的（采购人）（项目名称）（项目编号）的采购活动，我公司认为该项目的（采购文件/采购过程/中标（中标）结果）损害了我公司权益，对此，我公司于     年    月    日向（采购人或者政府采购代理机构）提出了质疑，（其于    年  月  日作出书面答复，因对其作出的答复不满意）/（被质疑人未在法定期内予以答复，按照政府采购有关规定），现向贵机关提起投诉：</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1.具体的投诉事项及事实依据；</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2.质疑和质疑答复情况简要描述；</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3.投诉请求。</w:t>
      </w:r>
    </w:p>
    <w:p>
      <w:pPr>
        <w:shd w:val="clear" w:color="auto" w:fill="auto"/>
        <w:spacing w:line="440" w:lineRule="exact"/>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附件：</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1.质疑书和质疑答复书；</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2.证据材料（需注明证据来源），证人的姓名、住址和联系方式等；</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3.营业执照；</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4.法定代表人身份证明函</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5.法定代表人授权委托书（包含法定代表人和委托代理人的身份证复印件）；</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6.政府采购监管部门认为应当提供的其它材料。</w:t>
      </w:r>
    </w:p>
    <w:p>
      <w:pPr>
        <w:shd w:val="clear" w:color="auto" w:fill="auto"/>
        <w:spacing w:line="440" w:lineRule="exact"/>
        <w:ind w:firstLine="3840" w:firstLineChars="1600"/>
        <w:jc w:val="left"/>
        <w:outlineLvl w:val="9"/>
        <w:rPr>
          <w:rFonts w:hint="eastAsia" w:ascii="仿宋" w:hAnsi="仿宋" w:eastAsia="仿宋" w:cs="仿宋"/>
          <w:b w:val="0"/>
          <w:bCs w:val="0"/>
          <w:color w:val="auto"/>
          <w:szCs w:val="21"/>
          <w:highlight w:val="none"/>
          <w:lang w:val="en-US" w:eastAsia="zh-CN"/>
        </w:rPr>
      </w:pPr>
    </w:p>
    <w:p>
      <w:pPr>
        <w:shd w:val="clear" w:color="auto" w:fill="auto"/>
        <w:spacing w:line="440" w:lineRule="exact"/>
        <w:ind w:firstLine="4320" w:firstLineChars="18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投诉供应商：（盖章）</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                                  法定代表人（或主要负责人）：（签字或盖章）</w:t>
      </w:r>
    </w:p>
    <w:p>
      <w:pPr>
        <w:shd w:val="clear" w:color="auto" w:fill="auto"/>
        <w:spacing w:line="440" w:lineRule="exact"/>
        <w:ind w:firstLine="240" w:firstLineChars="100"/>
        <w:jc w:val="center"/>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                  年   月    日</w:t>
      </w:r>
    </w:p>
    <w:p>
      <w:pPr>
        <w:pStyle w:val="18"/>
        <w:outlineLvl w:val="9"/>
        <w:rPr>
          <w:rFonts w:hint="eastAsia"/>
          <w:highlight w:val="none"/>
          <w:lang w:val="en-US" w:eastAsia="zh-CN"/>
        </w:rPr>
      </w:pPr>
    </w:p>
    <w:p>
      <w:pPr>
        <w:shd w:val="clear" w:color="auto" w:fill="auto"/>
        <w:spacing w:line="440" w:lineRule="exact"/>
        <w:ind w:firstLine="240" w:firstLineChars="100"/>
        <w:jc w:val="center"/>
        <w:outlineLvl w:val="9"/>
        <w:rPr>
          <w:rFonts w:hint="eastAsia" w:ascii="仿宋" w:hAnsi="仿宋" w:eastAsia="仿宋" w:cs="仿宋"/>
          <w:b/>
          <w:bCs/>
          <w:color w:val="auto"/>
          <w:sz w:val="32"/>
          <w:szCs w:val="32"/>
          <w:highlight w:val="none"/>
        </w:rPr>
      </w:pPr>
      <w:r>
        <w:rPr>
          <w:rFonts w:hint="eastAsia" w:ascii="仿宋" w:hAnsi="仿宋" w:eastAsia="仿宋" w:cs="仿宋"/>
          <w:b w:val="0"/>
          <w:bCs w:val="0"/>
          <w:color w:val="auto"/>
          <w:szCs w:val="21"/>
          <w:highlight w:val="none"/>
          <w:lang w:val="en-US" w:eastAsia="zh-CN"/>
        </w:rPr>
        <w:t xml:space="preserve">                            本投诉书正本叁份，副本   份并附电子文档。</w:t>
      </w:r>
      <w:bookmarkStart w:id="33" w:name="_Toc17515"/>
    </w:p>
    <w:p>
      <w:pPr>
        <w:shd w:val="clear" w:color="auto" w:fill="auto"/>
        <w:ind w:left="7951" w:hanging="5760" w:hangingChars="1800"/>
        <w:jc w:val="center"/>
        <w:outlineLvl w:val="9"/>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投诉相关说明</w:t>
      </w:r>
      <w:bookmarkEnd w:id="33"/>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投诉人应当满足《政府采购法》、《政府采购法实施条例》和《政府采购供应商投诉处理办法》的相关规定。</w:t>
      </w:r>
    </w:p>
    <w:p>
      <w:pPr>
        <w:keepNext w:val="0"/>
        <w:keepLines w:val="0"/>
        <w:pageBreakBefore w:val="0"/>
        <w:numPr>
          <w:ilvl w:val="0"/>
          <w:numId w:val="4"/>
        </w:numPr>
        <w:shd w:val="clear" w:color="auto" w:fill="auto"/>
        <w:kinsoku/>
        <w:wordWrap/>
        <w:overflowPunct/>
        <w:topLinePunct w:val="0"/>
        <w:autoSpaceDE/>
        <w:autoSpaceDN/>
        <w:bidi w:val="0"/>
        <w:adjustRightInd/>
        <w:snapToGrid/>
        <w:spacing w:line="400" w:lineRule="exact"/>
        <w:ind w:left="4569" w:leftChars="304" w:hanging="3840" w:hangingChars="1600"/>
        <w:textAlignment w:val="auto"/>
        <w:outlineLvl w:val="9"/>
        <w:rPr>
          <w:rFonts w:hint="eastAsia" w:ascii="仿宋" w:hAnsi="仿宋" w:eastAsia="仿宋" w:cs="仿宋"/>
          <w:b/>
          <w:bCs/>
          <w:color w:val="auto"/>
          <w:sz w:val="24"/>
          <w:szCs w:val="24"/>
          <w:highlight w:val="none"/>
        </w:rPr>
      </w:pPr>
      <w:bookmarkStart w:id="34" w:name="_Toc11499"/>
      <w:r>
        <w:rPr>
          <w:rFonts w:hint="eastAsia" w:ascii="仿宋" w:hAnsi="仿宋" w:eastAsia="仿宋" w:cs="仿宋"/>
          <w:b/>
          <w:bCs/>
          <w:color w:val="auto"/>
          <w:sz w:val="24"/>
          <w:szCs w:val="24"/>
          <w:highlight w:val="none"/>
        </w:rPr>
        <w:t>质疑前置及时间要求</w:t>
      </w:r>
      <w:bookmarkEnd w:id="34"/>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sz w:val="24"/>
          <w:szCs w:val="24"/>
          <w:highlight w:val="none"/>
        </w:rPr>
        <w:t>《中华人民共和国政府采购法》</w:t>
      </w:r>
      <w:r>
        <w:rPr>
          <w:rFonts w:hint="eastAsia" w:ascii="仿宋" w:hAnsi="仿宋" w:eastAsia="仿宋" w:cs="仿宋"/>
          <w:color w:val="auto"/>
          <w:kern w:val="0"/>
          <w:sz w:val="24"/>
          <w:szCs w:val="24"/>
          <w:highlight w:val="none"/>
          <w:shd w:val="clear" w:color="auto" w:fill="FFFFFF"/>
        </w:rPr>
        <w:t>第五十一条：供应商对政府采购活动事项有疑问的，可以向采购人提出询问，采购人应当及时作出答复，但答复的内容不得涉及商业秘密。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shd w:val="clear" w:color="auto" w:fill="FFFFFF"/>
        </w:rPr>
        <w:t xml:space="preserve"> 第五十二条：供应商认为采购文件、采购过程和中标、</w:t>
      </w:r>
      <w:r>
        <w:rPr>
          <w:rFonts w:hint="eastAsia" w:ascii="仿宋" w:hAnsi="仿宋" w:eastAsia="仿宋" w:cs="仿宋"/>
          <w:color w:val="auto"/>
          <w:kern w:val="0"/>
          <w:sz w:val="24"/>
          <w:szCs w:val="24"/>
          <w:highlight w:val="none"/>
          <w:shd w:val="clear" w:color="auto" w:fill="FFFFFF"/>
          <w:lang w:eastAsia="zh-CN"/>
        </w:rPr>
        <w:t>中标</w:t>
      </w:r>
      <w:r>
        <w:rPr>
          <w:rFonts w:hint="eastAsia" w:ascii="仿宋" w:hAnsi="仿宋" w:eastAsia="仿宋" w:cs="仿宋"/>
          <w:color w:val="auto"/>
          <w:kern w:val="0"/>
          <w:sz w:val="24"/>
          <w:szCs w:val="24"/>
          <w:highlight w:val="none"/>
          <w:shd w:val="clear" w:color="auto" w:fill="FFFFFF"/>
        </w:rPr>
        <w:t>结果使自己的权益受到损害的，可以在知道或者应知其权益受到损害之日起七个工作日内，以书面形式向采购人提出质疑。</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 xml:space="preserve">  《政府采购实施条例》第五十五条：供应商质疑、投诉应当有明确的请求和必要的证明材料。供应商投诉的事项不得超出质疑事项的范围。</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4320" w:hangingChars="18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b/>
          <w:bCs/>
          <w:color w:val="auto"/>
          <w:sz w:val="24"/>
          <w:szCs w:val="24"/>
          <w:highlight w:val="none"/>
        </w:rPr>
        <w:t xml:space="preserve">   </w:t>
      </w:r>
      <w:bookmarkStart w:id="35" w:name="_Toc13508"/>
      <w:r>
        <w:rPr>
          <w:rFonts w:hint="eastAsia" w:ascii="仿宋" w:hAnsi="仿宋" w:eastAsia="仿宋" w:cs="仿宋"/>
          <w:b/>
          <w:bCs/>
          <w:color w:val="auto"/>
          <w:sz w:val="24"/>
          <w:szCs w:val="24"/>
          <w:highlight w:val="none"/>
        </w:rPr>
        <w:t>二、书面方式</w:t>
      </w:r>
      <w:bookmarkEnd w:id="35"/>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4320" w:hangingChars="18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《政府采购供应商投诉处理办法》第八条：投诉人投诉</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时，应当提交投诉书，并按照被投诉人以及与投诉事项有关的供应商数量提供投诉书的副本。</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4320" w:hangingChars="18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投诉书应当包括下列主要内容：</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投诉人和被投诉人的名称、地址、电话等；</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具体的投诉事项及事实依据；</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质疑和质疑答复情况及相关证明材料；</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提起投诉的日期。</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投诉书应当署名。投诉人为自然人，应当由本人</w:t>
      </w:r>
      <w:r>
        <w:rPr>
          <w:rFonts w:hint="eastAsia" w:ascii="仿宋" w:hAnsi="仿宋" w:eastAsia="仿宋" w:cs="仿宋"/>
          <w:color w:val="auto"/>
          <w:sz w:val="24"/>
          <w:szCs w:val="24"/>
          <w:highlight w:val="none"/>
          <w:lang w:eastAsia="zh-CN"/>
        </w:rPr>
        <w:t>签章</w:t>
      </w:r>
      <w:r>
        <w:rPr>
          <w:rFonts w:hint="eastAsia" w:ascii="仿宋" w:hAnsi="仿宋" w:eastAsia="仿宋" w:cs="仿宋"/>
          <w:color w:val="auto"/>
          <w:sz w:val="24"/>
          <w:szCs w:val="24"/>
          <w:highlight w:val="none"/>
        </w:rPr>
        <w:t>；投诉人为法人或者其他组织的，应当由法定代表人或者主要负责人</w:t>
      </w:r>
      <w:r>
        <w:rPr>
          <w:rFonts w:hint="eastAsia" w:ascii="仿宋" w:hAnsi="仿宋" w:eastAsia="仿宋" w:cs="仿宋"/>
          <w:color w:val="auto"/>
          <w:sz w:val="24"/>
          <w:szCs w:val="24"/>
          <w:highlight w:val="none"/>
          <w:lang w:eastAsia="zh-CN"/>
        </w:rPr>
        <w:t>签章</w:t>
      </w:r>
      <w:r>
        <w:rPr>
          <w:rFonts w:hint="eastAsia" w:ascii="仿宋" w:hAnsi="仿宋" w:eastAsia="仿宋" w:cs="仿宋"/>
          <w:color w:val="auto"/>
          <w:sz w:val="24"/>
          <w:szCs w:val="24"/>
          <w:highlight w:val="none"/>
        </w:rPr>
        <w:t>并加盖公章。</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《政府采购供应商投诉处理办法》第十条：投诉人提起投诉应当符合下列条件：</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投诉人是参与所投诉政府采购活动的供应商；</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提起投诉诉前已依法进行质疑；</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投诉书内容符合本办法的规定；</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在投诉有效期内提起投诉；</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属于本级财政部门管辖；</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同一投诉事项未经财政部门投诉处理；</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国务院财政部门规定的其他条件。</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p>
    <w:p>
      <w:pPr>
        <w:shd w:val="clear" w:color="auto" w:fil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w:t>
      </w:r>
      <w:r>
        <w:rPr>
          <w:rFonts w:hint="eastAsia" w:ascii="仿宋" w:hAnsi="仿宋" w:eastAsia="仿宋" w:cs="仿宋"/>
          <w:b/>
          <w:bCs/>
          <w:color w:val="auto"/>
          <w:sz w:val="24"/>
          <w:szCs w:val="24"/>
          <w:highlight w:val="none"/>
        </w:rPr>
        <w:t xml:space="preserve">  </w:t>
      </w:r>
      <w:bookmarkStart w:id="36" w:name="_Toc5978"/>
      <w:r>
        <w:rPr>
          <w:rFonts w:hint="eastAsia" w:ascii="仿宋" w:hAnsi="仿宋" w:eastAsia="仿宋" w:cs="仿宋"/>
          <w:b/>
          <w:bCs/>
          <w:color w:val="auto"/>
          <w:sz w:val="24"/>
          <w:szCs w:val="24"/>
          <w:highlight w:val="none"/>
        </w:rPr>
        <w:t>三、虚假、恶意投诉法律责任</w:t>
      </w:r>
      <w:bookmarkEnd w:id="36"/>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第七十三条：供应商捏造实施、提供虚假材料或者以非法手段取得证明材料进行投诉的，由财政部门列入不良行为记录名单，禁止其1至3年内参加政府采购活动。</w:t>
      </w:r>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《政府采购供应商投诉处理办法》第二十六条：投诉人有下列情形之一的，属于虚假、恶意投诉，财政部门应当驳回投诉，将其列入不良行为记录名单，并依法予以处罚：</w:t>
      </w:r>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（一）1年内3次以上投诉均查无实据的；</w:t>
      </w:r>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（二）捏造事实或者提供虚假投诉材料的。</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p>
    <w:p>
      <w:pPr>
        <w:shd w:val="clear" w:color="auto" w:fill="auto"/>
        <w:jc w:val="both"/>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递交投诉书地址：</w:t>
      </w:r>
      <w:r>
        <w:rPr>
          <w:rFonts w:hint="eastAsia" w:ascii="仿宋" w:hAnsi="仿宋" w:eastAsia="仿宋" w:cs="仿宋"/>
          <w:color w:val="auto"/>
          <w:sz w:val="24"/>
          <w:szCs w:val="24"/>
          <w:highlight w:val="none"/>
          <w:lang w:val="en-US" w:eastAsia="zh-CN"/>
        </w:rPr>
        <w:t>阿图什市政府采购办</w:t>
      </w:r>
      <w:r>
        <w:rPr>
          <w:rFonts w:hint="eastAsia" w:ascii="仿宋" w:hAnsi="仿宋" w:eastAsia="仿宋" w:cs="仿宋"/>
          <w:color w:val="auto"/>
          <w:sz w:val="24"/>
          <w:szCs w:val="24"/>
          <w:highlight w:val="none"/>
        </w:rPr>
        <w:t>监管办公室</w:t>
      </w:r>
    </w:p>
    <w:p>
      <w:pPr>
        <w:shd w:val="clear" w:color="auto" w:fill="auto"/>
        <w:jc w:val="right"/>
        <w:outlineLvl w:val="9"/>
        <w:rPr>
          <w:rFonts w:hint="eastAsia" w:ascii="仿宋" w:hAnsi="仿宋" w:eastAsia="仿宋" w:cs="仿宋"/>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9"/>
        <w:rPr>
          <w:rFonts w:hint="eastAsia" w:ascii="仿宋" w:hAnsi="仿宋" w:eastAsia="仿宋" w:cs="仿宋"/>
          <w:b/>
          <w:bCs/>
          <w:color w:val="auto"/>
          <w:sz w:val="44"/>
          <w:szCs w:val="44"/>
          <w:highlight w:val="none"/>
        </w:rPr>
      </w:pPr>
      <w:bookmarkStart w:id="37" w:name="_Toc1697"/>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pStyle w:val="23"/>
        <w:ind w:left="0" w:leftChars="0" w:firstLine="0" w:firstLineChars="0"/>
        <w:outlineLvl w:val="9"/>
        <w:rPr>
          <w:rFonts w:hint="eastAsia" w:ascii="仿宋" w:hAnsi="仿宋" w:eastAsia="仿宋" w:cs="仿宋"/>
          <w:b/>
          <w:bCs/>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质疑函范本</w:t>
      </w:r>
      <w:bookmarkEnd w:id="37"/>
    </w:p>
    <w:p>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80" w:firstLineChars="200"/>
        <w:textAlignment w:val="auto"/>
        <w:outlineLvl w:val="9"/>
        <w:rPr>
          <w:rFonts w:hint="eastAsia" w:ascii="仿宋" w:hAnsi="仿宋" w:eastAsia="仿宋" w:cs="仿宋"/>
          <w:bCs/>
          <w:color w:val="auto"/>
          <w:sz w:val="24"/>
          <w:szCs w:val="24"/>
          <w:highlight w:val="none"/>
        </w:rPr>
      </w:pPr>
      <w:bookmarkStart w:id="38" w:name="_Toc9061"/>
      <w:r>
        <w:rPr>
          <w:rFonts w:hint="eastAsia" w:ascii="仿宋" w:hAnsi="仿宋" w:eastAsia="仿宋" w:cs="仿宋"/>
          <w:bCs/>
          <w:color w:val="auto"/>
          <w:sz w:val="24"/>
          <w:szCs w:val="24"/>
          <w:highlight w:val="none"/>
        </w:rPr>
        <w:t>一、质疑供应商基本信息</w:t>
      </w:r>
      <w:bookmarkEnd w:id="38"/>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质疑供应商：</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地址： </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bCs/>
          <w:color w:val="auto"/>
          <w:sz w:val="24"/>
          <w:szCs w:val="24"/>
          <w:highlight w:val="none"/>
        </w:rPr>
      </w:pPr>
      <w:bookmarkStart w:id="39" w:name="_Toc15938"/>
      <w:r>
        <w:rPr>
          <w:rFonts w:hint="eastAsia" w:ascii="仿宋" w:hAnsi="仿宋" w:eastAsia="仿宋" w:cs="仿宋"/>
          <w:bCs/>
          <w:color w:val="auto"/>
          <w:sz w:val="24"/>
          <w:szCs w:val="24"/>
          <w:highlight w:val="none"/>
        </w:rPr>
        <w:t>二、质疑项目基本情况</w:t>
      </w:r>
      <w:bookmarkEnd w:id="39"/>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质疑项目的名称：</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质疑项目的编号：</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包号：</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采购人名称：</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采购文件获取日期：</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bCs/>
          <w:color w:val="auto"/>
          <w:sz w:val="24"/>
          <w:szCs w:val="24"/>
          <w:highlight w:val="none"/>
        </w:rPr>
      </w:pPr>
      <w:bookmarkStart w:id="40" w:name="_Toc18271"/>
      <w:r>
        <w:rPr>
          <w:rFonts w:hint="eastAsia" w:ascii="仿宋" w:hAnsi="仿宋" w:eastAsia="仿宋" w:cs="仿宋"/>
          <w:bCs/>
          <w:color w:val="auto"/>
          <w:sz w:val="24"/>
          <w:szCs w:val="24"/>
          <w:highlight w:val="none"/>
        </w:rPr>
        <w:t>三、质疑事项具体内容</w:t>
      </w:r>
      <w:bookmarkEnd w:id="40"/>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质疑事项1：</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事实依据：</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法律依据：</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质疑事项2</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bCs/>
          <w:color w:val="auto"/>
          <w:sz w:val="24"/>
          <w:szCs w:val="24"/>
          <w:highlight w:val="none"/>
        </w:rPr>
      </w:pPr>
      <w:bookmarkStart w:id="41" w:name="_Toc22365"/>
      <w:r>
        <w:rPr>
          <w:rFonts w:hint="eastAsia" w:ascii="仿宋" w:hAnsi="仿宋" w:eastAsia="仿宋" w:cs="仿宋"/>
          <w:bCs/>
          <w:color w:val="auto"/>
          <w:sz w:val="24"/>
          <w:szCs w:val="24"/>
          <w:highlight w:val="none"/>
        </w:rPr>
        <w:t>四、与质疑事项相关的质疑请求</w:t>
      </w:r>
      <w:bookmarkEnd w:id="41"/>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请求：</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签字</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盖章</w:t>
      </w:r>
      <w:r>
        <w:rPr>
          <w:rFonts w:hint="eastAsia" w:ascii="仿宋" w:hAnsi="仿宋" w:eastAsia="仿宋" w:cs="仿宋"/>
          <w:color w:val="auto"/>
          <w:sz w:val="24"/>
          <w:szCs w:val="24"/>
          <w:highlight w:val="none"/>
        </w:rPr>
        <w:t xml:space="preserve">)：                   公章：                      </w:t>
      </w:r>
    </w:p>
    <w:p>
      <w:pPr>
        <w:keepNext w:val="0"/>
        <w:keepLines w:val="0"/>
        <w:pageBreakBefore w:val="0"/>
        <w:widowControl w:val="0"/>
        <w:shd w:val="clear" w:color="auto" w:fill="auto"/>
        <w:kinsoku/>
        <w:wordWrap/>
        <w:overflowPunct/>
        <w:topLinePunct w:val="0"/>
        <w:autoSpaceDE/>
        <w:autoSpaceDN/>
        <w:bidi w:val="0"/>
        <w:spacing w:line="540" w:lineRule="exact"/>
        <w:ind w:firstLine="480" w:firstLineChars="200"/>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 xml:space="preserve">日期：    </w:t>
      </w:r>
    </w:p>
    <w:p>
      <w:pPr>
        <w:keepNext w:val="0"/>
        <w:keepLines w:val="0"/>
        <w:pageBreakBefore w:val="0"/>
        <w:widowControl w:val="0"/>
        <w:shd w:val="clear" w:color="auto" w:fill="auto"/>
        <w:kinsoku/>
        <w:wordWrap/>
        <w:overflowPunct/>
        <w:topLinePunct w:val="0"/>
        <w:autoSpaceDE/>
        <w:autoSpaceDN/>
        <w:bidi w:val="0"/>
        <w:spacing w:line="540" w:lineRule="exact"/>
        <w:ind w:firstLine="480" w:firstLineChars="200"/>
        <w:textAlignment w:val="auto"/>
        <w:outlineLvl w:val="9"/>
        <w:rPr>
          <w:rFonts w:hint="eastAsia" w:ascii="仿宋" w:hAnsi="仿宋" w:eastAsia="仿宋" w:cs="仿宋"/>
          <w:b/>
          <w:bCs/>
          <w:color w:val="auto"/>
          <w:sz w:val="24"/>
          <w:szCs w:val="24"/>
          <w:highlight w:val="none"/>
        </w:rPr>
      </w:pPr>
    </w:p>
    <w:p>
      <w:pPr>
        <w:pageBreakBefore/>
        <w:shd w:val="clear" w:color="auto" w:fill="auto"/>
        <w:spacing w:line="440" w:lineRule="exact"/>
        <w:jc w:val="center"/>
        <w:outlineLvl w:val="0"/>
        <w:rPr>
          <w:rFonts w:hint="eastAsia" w:ascii="仿宋" w:hAnsi="仿宋" w:eastAsia="仿宋" w:cs="仿宋"/>
          <w:b/>
          <w:bCs/>
          <w:color w:val="auto"/>
          <w:sz w:val="30"/>
          <w:szCs w:val="30"/>
          <w:highlight w:val="none"/>
        </w:rPr>
      </w:pPr>
      <w:bookmarkStart w:id="42" w:name="_Toc469495731"/>
      <w:bookmarkStart w:id="43" w:name="_Toc6150"/>
      <w:r>
        <w:rPr>
          <w:rFonts w:hint="eastAsia" w:ascii="仿宋" w:hAnsi="仿宋" w:eastAsia="仿宋" w:cs="仿宋"/>
          <w:b/>
          <w:bCs/>
          <w:color w:val="auto"/>
          <w:sz w:val="30"/>
          <w:szCs w:val="30"/>
          <w:highlight w:val="none"/>
        </w:rPr>
        <w:t>第三</w:t>
      </w:r>
      <w:r>
        <w:rPr>
          <w:rFonts w:hint="eastAsia" w:ascii="仿宋" w:hAnsi="仿宋" w:eastAsia="仿宋" w:cs="仿宋"/>
          <w:b/>
          <w:bCs/>
          <w:color w:val="auto"/>
          <w:sz w:val="30"/>
          <w:szCs w:val="30"/>
          <w:highlight w:val="none"/>
          <w:lang w:val="en-US" w:eastAsia="zh-CN"/>
        </w:rPr>
        <w:t>部分</w:t>
      </w:r>
      <w:r>
        <w:rPr>
          <w:rFonts w:hint="eastAsia" w:ascii="仿宋" w:hAnsi="仿宋" w:eastAsia="仿宋" w:cs="仿宋"/>
          <w:b/>
          <w:bCs/>
          <w:color w:val="auto"/>
          <w:sz w:val="30"/>
          <w:szCs w:val="30"/>
          <w:highlight w:val="none"/>
        </w:rPr>
        <w:t xml:space="preserve">  评标办法</w:t>
      </w:r>
      <w:bookmarkEnd w:id="42"/>
      <w:bookmarkEnd w:id="43"/>
    </w:p>
    <w:p>
      <w:pPr>
        <w:shd w:val="clear" w:color="auto" w:fill="auto"/>
        <w:jc w:val="center"/>
        <w:outlineLvl w:val="9"/>
        <w:rPr>
          <w:rFonts w:hint="eastAsia" w:ascii="仿宋" w:hAnsi="仿宋" w:eastAsia="仿宋" w:cs="仿宋"/>
          <w:b/>
          <w:color w:val="auto"/>
          <w:sz w:val="28"/>
          <w:szCs w:val="28"/>
          <w:highlight w:val="none"/>
        </w:rPr>
      </w:pPr>
      <w:bookmarkStart w:id="44" w:name="_Toc469495733"/>
      <w:bookmarkStart w:id="45" w:name="_Toc362983802"/>
      <w:bookmarkStart w:id="46" w:name="_Toc267320058"/>
      <w:bookmarkStart w:id="47" w:name="_Toc363135205"/>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总  则</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1、一般规定</w:t>
      </w:r>
    </w:p>
    <w:p>
      <w:pPr>
        <w:shd w:val="clear" w:color="auto" w:fill="auto"/>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1.1本项目的招标按照《中华人民共和国政府采购法》、《政府采购货物和服务招标投标管理办法》及政府采购的有关规定进行。</w:t>
      </w:r>
    </w:p>
    <w:p>
      <w:pPr>
        <w:shd w:val="clear" w:color="auto" w:fill="auto"/>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1.2评标必须遵循邀请、公平、公正、诚实信用的原则。</w:t>
      </w:r>
    </w:p>
    <w:p>
      <w:pPr>
        <w:shd w:val="clear" w:color="auto" w:fill="auto"/>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1.3招标代理机构组织招标、开标、评标工作，全过程接受政府采购有关部门的监督、管理和指导。</w:t>
      </w:r>
    </w:p>
    <w:p>
      <w:pPr>
        <w:shd w:val="clear" w:color="auto" w:fill="auto"/>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1.4评标按照招标文件规定的内容进行，采取符合招标文件要求的最低评标价法；</w:t>
      </w:r>
    </w:p>
    <w:p>
      <w:pPr>
        <w:shd w:val="clear" w:color="auto" w:fill="auto"/>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1.5本办法的评标对象是指投标人按照招标文件要求提供的有效投标文件，包括投标人应评标委员会要求对原投标文件作出的正式书面澄清文件。</w:t>
      </w:r>
    </w:p>
    <w:p>
      <w:pPr>
        <w:shd w:val="clear" w:color="auto" w:fill="auto"/>
        <w:tabs>
          <w:tab w:val="left" w:pos="567"/>
          <w:tab w:val="left" w:pos="1145"/>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2、评标组织机构的组成</w:t>
      </w:r>
    </w:p>
    <w:p>
      <w:pPr>
        <w:widowControl/>
        <w:shd w:val="clear" w:color="auto" w:fill="auto"/>
        <w:spacing w:line="440" w:lineRule="exact"/>
        <w:ind w:firstLine="480"/>
        <w:outlineLvl w:val="9"/>
        <w:rPr>
          <w:rFonts w:hint="eastAsia" w:ascii="仿宋" w:hAnsi="仿宋" w:eastAsia="仿宋" w:cs="仿宋"/>
          <w:b/>
          <w:bCs/>
          <w:color w:val="auto"/>
          <w:kern w:val="0"/>
          <w:sz w:val="24"/>
          <w:szCs w:val="24"/>
          <w:highlight w:val="none"/>
        </w:rPr>
      </w:pPr>
      <w:r>
        <w:rPr>
          <w:rFonts w:hint="eastAsia" w:ascii="仿宋" w:hAnsi="仿宋" w:eastAsia="仿宋" w:cs="仿宋"/>
          <w:b/>
          <w:bCs/>
          <w:color w:val="auto"/>
          <w:sz w:val="24"/>
          <w:szCs w:val="24"/>
          <w:highlight w:val="none"/>
        </w:rPr>
        <w:t>2.1</w:t>
      </w:r>
      <w:r>
        <w:rPr>
          <w:rFonts w:hint="eastAsia" w:ascii="仿宋" w:hAnsi="仿宋" w:eastAsia="仿宋" w:cs="仿宋"/>
          <w:color w:val="auto"/>
          <w:spacing w:val="-2"/>
          <w:sz w:val="24"/>
          <w:szCs w:val="24"/>
          <w:highlight w:val="none"/>
        </w:rPr>
        <w:t xml:space="preserve"> </w:t>
      </w:r>
      <w:r>
        <w:rPr>
          <w:rFonts w:hint="eastAsia" w:ascii="仿宋" w:hAnsi="仿宋" w:eastAsia="仿宋" w:cs="仿宋"/>
          <w:color w:val="auto"/>
          <w:kern w:val="0"/>
          <w:sz w:val="24"/>
          <w:szCs w:val="24"/>
          <w:highlight w:val="none"/>
          <w:lang w:bidi="ar-SA"/>
        </w:rPr>
        <w:t>评标委员会由采购人代表和有关技术、经济等方面的专家组成，成员人数应当为5人</w:t>
      </w:r>
      <w:r>
        <w:rPr>
          <w:rFonts w:hint="eastAsia" w:ascii="仿宋" w:hAnsi="仿宋" w:eastAsia="仿宋" w:cs="仿宋"/>
          <w:color w:val="auto"/>
          <w:kern w:val="0"/>
          <w:sz w:val="24"/>
          <w:szCs w:val="24"/>
          <w:highlight w:val="none"/>
          <w:lang w:eastAsia="zh-CN" w:bidi="ar-SA"/>
        </w:rPr>
        <w:t>或</w:t>
      </w:r>
      <w:r>
        <w:rPr>
          <w:rFonts w:hint="eastAsia" w:ascii="仿宋" w:hAnsi="仿宋" w:eastAsia="仿宋" w:cs="仿宋"/>
          <w:color w:val="auto"/>
          <w:kern w:val="0"/>
          <w:sz w:val="24"/>
          <w:szCs w:val="24"/>
          <w:highlight w:val="none"/>
          <w:lang w:val="en-US" w:eastAsia="zh-CN" w:bidi="ar-SA"/>
        </w:rPr>
        <w:t>5人</w:t>
      </w:r>
      <w:r>
        <w:rPr>
          <w:rFonts w:hint="eastAsia" w:ascii="仿宋" w:hAnsi="仿宋" w:eastAsia="仿宋" w:cs="仿宋"/>
          <w:color w:val="auto"/>
          <w:kern w:val="0"/>
          <w:sz w:val="24"/>
          <w:szCs w:val="24"/>
          <w:highlight w:val="none"/>
          <w:lang w:bidi="ar-SA"/>
        </w:rPr>
        <w:t>以上单数。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pPr>
        <w:shd w:val="clear" w:color="auto" w:fill="auto"/>
        <w:tabs>
          <w:tab w:val="left" w:pos="567"/>
          <w:tab w:val="left" w:pos="1145"/>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2.2评标工作组由招标人及有关专家组成，由评标委员会确认，并接受其领导。</w:t>
      </w:r>
    </w:p>
    <w:p>
      <w:pPr>
        <w:shd w:val="clear" w:color="auto" w:fill="auto"/>
        <w:tabs>
          <w:tab w:val="left" w:pos="567"/>
          <w:tab w:val="left" w:pos="1145"/>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2.3评标委员会应相对独立工作，负责评标、撰写技术、商务评标报告。采购代理机构负责评标过程中资料的保管、发放、回收，整理、汇总评标资料。</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3、评标委员会职责</w:t>
      </w:r>
    </w:p>
    <w:p>
      <w:pPr>
        <w:pStyle w:val="40"/>
        <w:shd w:val="clear" w:color="auto" w:fill="auto"/>
        <w:spacing w:before="0" w:beforeAutospacing="0" w:after="0" w:afterAutospacing="0"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3.1审查投标文件是否符合招标文件要求，并作出评价；</w:t>
      </w:r>
    </w:p>
    <w:p>
      <w:pPr>
        <w:pStyle w:val="40"/>
        <w:shd w:val="clear" w:color="auto" w:fill="auto"/>
        <w:spacing w:before="0" w:beforeAutospacing="0" w:after="0" w:afterAutospacing="0"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3.2要求投标人对投标文件有关事项作出解释或者澄清；</w:t>
      </w:r>
    </w:p>
    <w:p>
      <w:pPr>
        <w:pStyle w:val="40"/>
        <w:shd w:val="clear" w:color="auto" w:fill="auto"/>
        <w:spacing w:before="0" w:beforeAutospacing="0" w:after="0" w:afterAutospacing="0"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3.3推荐中标候选人名单；</w:t>
      </w:r>
    </w:p>
    <w:p>
      <w:pPr>
        <w:pStyle w:val="40"/>
        <w:shd w:val="clear" w:color="auto" w:fill="auto"/>
        <w:spacing w:before="0" w:beforeAutospacing="0" w:after="0" w:afterAutospacing="0"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3.4向招标人、招标代理机构或者有关部门报告非法干预评标工作的行为。</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4、评标委员会义务</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4.1遵纪守法，客观、公正、廉洁地履行职责；</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4.2按照招标文件规定的评标方法和评标标准进行评标，对评审意见承担个人责任；</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4.3对评标过程和结果，以及投标人的商业秘密保密；</w:t>
      </w:r>
    </w:p>
    <w:p>
      <w:pPr>
        <w:keepNext w:val="0"/>
        <w:keepLines w:val="0"/>
        <w:pageBreakBefore w:val="0"/>
        <w:shd w:val="clear" w:color="auto" w:fill="auto"/>
        <w:tabs>
          <w:tab w:val="left" w:pos="567"/>
          <w:tab w:val="left" w:pos="60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4.4参与评标报告的起草；</w:t>
      </w:r>
    </w:p>
    <w:p>
      <w:pPr>
        <w:keepNext w:val="0"/>
        <w:keepLines w:val="0"/>
        <w:pageBreakBefore w:val="0"/>
        <w:shd w:val="clear" w:color="auto" w:fill="auto"/>
        <w:tabs>
          <w:tab w:val="left" w:pos="567"/>
          <w:tab w:val="left" w:pos="60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4.5配合有关部门的投诉处理工作；</w:t>
      </w:r>
    </w:p>
    <w:p>
      <w:pPr>
        <w:keepNext w:val="0"/>
        <w:keepLines w:val="0"/>
        <w:pageBreakBefore w:val="0"/>
        <w:shd w:val="clear" w:color="auto" w:fill="auto"/>
        <w:tabs>
          <w:tab w:val="left" w:pos="567"/>
          <w:tab w:val="left" w:pos="60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4.6配合招标人、招标代理机构答复投标供应商提出的质疑。</w:t>
      </w:r>
    </w:p>
    <w:p>
      <w:pPr>
        <w:keepNext w:val="0"/>
        <w:keepLines w:val="0"/>
        <w:pageBreakBefore w:val="0"/>
        <w:shd w:val="clear" w:color="auto" w:fill="auto"/>
        <w:tabs>
          <w:tab w:val="left" w:pos="1547"/>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 w:val="24"/>
          <w:szCs w:val="24"/>
          <w:highlight w:val="none"/>
          <w:lang w:bidi="ar-SA"/>
        </w:rPr>
      </w:pPr>
      <w:r>
        <w:rPr>
          <w:rFonts w:hint="eastAsia" w:ascii="仿宋" w:hAnsi="仿宋" w:eastAsia="仿宋" w:cs="仿宋"/>
          <w:color w:val="auto"/>
          <w:sz w:val="24"/>
          <w:szCs w:val="24"/>
          <w:highlight w:val="none"/>
          <w:lang w:bidi="ar-SA"/>
        </w:rPr>
        <w:t>5、 评标程序</w:t>
      </w:r>
    </w:p>
    <w:p>
      <w:pPr>
        <w:pStyle w:val="20"/>
        <w:keepNext w:val="0"/>
        <w:keepLines w:val="0"/>
        <w:pageBreakBefore w:val="0"/>
        <w:shd w:val="clear" w:color="auto" w:fill="auto"/>
        <w:tabs>
          <w:tab w:val="left" w:pos="720"/>
          <w:tab w:val="clear" w:pos="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bCs/>
          <w:color w:val="auto"/>
          <w:sz w:val="24"/>
          <w:szCs w:val="24"/>
          <w:highlight w:val="none"/>
          <w:lang w:bidi="ar-SA"/>
        </w:rPr>
      </w:pPr>
      <w:r>
        <w:rPr>
          <w:rFonts w:hint="eastAsia" w:ascii="仿宋" w:hAnsi="仿宋" w:eastAsia="仿宋" w:cs="仿宋"/>
          <w:bCs/>
          <w:color w:val="auto"/>
          <w:sz w:val="24"/>
          <w:szCs w:val="24"/>
          <w:highlight w:val="none"/>
          <w:lang w:bidi="ar-SA"/>
        </w:rPr>
        <w:t>5.1本次评标首先由评标委员会对投标人的投标文件进行初审，对未能通过初审的投标文件作无效标处理；</w:t>
      </w:r>
    </w:p>
    <w:p>
      <w:pPr>
        <w:keepNext w:val="0"/>
        <w:keepLines w:val="0"/>
        <w:pageBreakBefore w:val="0"/>
        <w:shd w:val="clear" w:color="auto" w:fill="auto"/>
        <w:tabs>
          <w:tab w:val="left" w:pos="72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 w:val="24"/>
          <w:szCs w:val="24"/>
          <w:highlight w:val="none"/>
          <w:lang w:bidi="ar-SA"/>
        </w:rPr>
      </w:pPr>
      <w:r>
        <w:rPr>
          <w:rFonts w:hint="eastAsia" w:ascii="仿宋" w:hAnsi="仿宋" w:eastAsia="仿宋" w:cs="仿宋"/>
          <w:color w:val="auto"/>
          <w:sz w:val="24"/>
          <w:szCs w:val="24"/>
          <w:highlight w:val="none"/>
          <w:lang w:bidi="ar-SA"/>
        </w:rPr>
        <w:t>5.2对通过初审的投标人的投标文件进行详细的比较和评价。如需要，进行必要的澄清工作；</w:t>
      </w:r>
    </w:p>
    <w:p>
      <w:pPr>
        <w:keepNext w:val="0"/>
        <w:keepLines w:val="0"/>
        <w:pageBreakBefore w:val="0"/>
        <w:widowControl/>
        <w:shd w:val="clear" w:color="auto" w:fill="auto"/>
        <w:kinsoku/>
        <w:wordWrap/>
        <w:overflowPunct/>
        <w:topLinePunct w:val="0"/>
        <w:autoSpaceDE/>
        <w:autoSpaceDN/>
        <w:bidi w:val="0"/>
        <w:adjustRightInd/>
        <w:snapToGrid/>
        <w:spacing w:line="360" w:lineRule="exact"/>
        <w:ind w:firstLine="482"/>
        <w:textAlignment w:val="auto"/>
        <w:outlineLvl w:val="9"/>
        <w:rPr>
          <w:rFonts w:hint="eastAsia" w:ascii="仿宋" w:hAnsi="仿宋" w:eastAsia="仿宋" w:cs="仿宋"/>
          <w:b/>
          <w:bCs/>
          <w:color w:val="auto"/>
          <w:kern w:val="0"/>
          <w:sz w:val="24"/>
          <w:szCs w:val="24"/>
          <w:highlight w:val="none"/>
          <w:lang w:bidi="ar-SA"/>
        </w:rPr>
      </w:pPr>
      <w:r>
        <w:rPr>
          <w:rFonts w:hint="eastAsia" w:ascii="仿宋" w:hAnsi="仿宋" w:eastAsia="仿宋" w:cs="仿宋"/>
          <w:color w:val="auto"/>
          <w:sz w:val="24"/>
          <w:szCs w:val="24"/>
          <w:highlight w:val="none"/>
          <w:lang w:bidi="ar-SA"/>
        </w:rPr>
        <w:t>5.3依据评分标准以及各项权值，各位评委单独就每个投标人的</w:t>
      </w:r>
      <w:r>
        <w:rPr>
          <w:rFonts w:hint="eastAsia" w:ascii="仿宋" w:hAnsi="仿宋" w:eastAsia="仿宋" w:cs="仿宋"/>
          <w:color w:val="auto"/>
          <w:kern w:val="0"/>
          <w:sz w:val="24"/>
          <w:szCs w:val="24"/>
          <w:highlight w:val="none"/>
          <w:lang w:bidi="ar-SA"/>
        </w:rPr>
        <w:t>投标文件进行价格、技术、</w:t>
      </w:r>
      <w:r>
        <w:rPr>
          <w:rFonts w:hint="eastAsia" w:ascii="仿宋" w:hAnsi="仿宋" w:eastAsia="仿宋" w:cs="仿宋"/>
          <w:color w:val="auto"/>
          <w:kern w:val="0"/>
          <w:sz w:val="24"/>
          <w:szCs w:val="24"/>
          <w:highlight w:val="none"/>
          <w:lang w:bidi="ar-SA"/>
        </w:rPr>
        <w:fldChar w:fldCharType="begin"/>
      </w:r>
      <w:r>
        <w:rPr>
          <w:rFonts w:hint="eastAsia" w:ascii="仿宋" w:hAnsi="仿宋" w:eastAsia="仿宋" w:cs="仿宋"/>
          <w:color w:val="auto"/>
          <w:kern w:val="0"/>
          <w:sz w:val="24"/>
          <w:szCs w:val="24"/>
          <w:highlight w:val="none"/>
          <w:lang w:bidi="ar-SA"/>
        </w:rPr>
        <w:instrText xml:space="preserve">HYPERLINK "http://zhidao.baidu.com/search?word=%E8%B4%A2%E5%8A%A1%E7%8A%B6%E5%86%B5&amp;fr=qb_search_exp&amp;ie=utf8&amp;eid_gfrom=151"</w:instrText>
      </w:r>
      <w:r>
        <w:rPr>
          <w:rFonts w:hint="eastAsia" w:ascii="仿宋" w:hAnsi="仿宋" w:eastAsia="仿宋" w:cs="仿宋"/>
          <w:color w:val="auto"/>
          <w:kern w:val="0"/>
          <w:sz w:val="24"/>
          <w:szCs w:val="24"/>
          <w:highlight w:val="none"/>
          <w:lang w:bidi="ar-SA"/>
        </w:rPr>
        <w:fldChar w:fldCharType="separate"/>
      </w:r>
      <w:r>
        <w:rPr>
          <w:rFonts w:hint="eastAsia" w:ascii="仿宋" w:hAnsi="仿宋" w:eastAsia="仿宋" w:cs="仿宋"/>
          <w:color w:val="auto"/>
          <w:kern w:val="0"/>
          <w:sz w:val="24"/>
          <w:szCs w:val="24"/>
          <w:highlight w:val="none"/>
          <w:lang w:bidi="ar-SA"/>
        </w:rPr>
        <w:t>财务状况</w:t>
      </w:r>
      <w:r>
        <w:rPr>
          <w:rFonts w:hint="eastAsia" w:ascii="仿宋" w:hAnsi="仿宋" w:eastAsia="仿宋" w:cs="仿宋"/>
          <w:color w:val="auto"/>
          <w:kern w:val="0"/>
          <w:sz w:val="24"/>
          <w:szCs w:val="24"/>
          <w:highlight w:val="none"/>
          <w:lang w:bidi="ar-SA"/>
        </w:rPr>
        <w:fldChar w:fldCharType="end"/>
      </w:r>
      <w:r>
        <w:rPr>
          <w:rFonts w:hint="eastAsia" w:ascii="仿宋" w:hAnsi="仿宋" w:eastAsia="仿宋" w:cs="仿宋"/>
          <w:color w:val="auto"/>
          <w:kern w:val="0"/>
          <w:sz w:val="24"/>
          <w:szCs w:val="24"/>
          <w:highlight w:val="none"/>
          <w:lang w:bidi="ar-SA"/>
        </w:rPr>
        <w:t>、信誉、业绩、服务、对招标文件的响应程度，以及相应的比重或者权值等各项因素进行综合评审后，按最终综合得分由高向低排序，由评标委员会推荐综合得分最高的投标人为第一中标候选人，综合得分第二名的投标人为第二中标候选人，综合得分第三名的投标人为第三中标候选人。</w:t>
      </w:r>
    </w:p>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  投标文件初审</w:t>
      </w:r>
      <w:bookmarkEnd w:id="44"/>
      <w:bookmarkEnd w:id="45"/>
    </w:p>
    <w:p>
      <w:pPr>
        <w:shd w:val="clear" w:color="auto" w:fill="auto"/>
        <w:spacing w:line="400" w:lineRule="exact"/>
        <w:ind w:firstLine="352" w:firstLineChars="147"/>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6</w:t>
      </w:r>
      <w:r>
        <w:rPr>
          <w:rFonts w:hint="eastAsia" w:ascii="仿宋" w:hAnsi="仿宋" w:eastAsia="仿宋" w:cs="仿宋"/>
          <w:b/>
          <w:color w:val="auto"/>
          <w:sz w:val="24"/>
          <w:szCs w:val="24"/>
          <w:highlight w:val="none"/>
        </w:rPr>
        <w:t>.资格性审查:</w:t>
      </w:r>
    </w:p>
    <w:p>
      <w:pPr>
        <w:shd w:val="clear" w:color="auto" w:fill="auto"/>
        <w:spacing w:line="400" w:lineRule="exact"/>
        <w:ind w:firstLine="352" w:firstLineChars="147"/>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.1评审细则</w:t>
      </w:r>
    </w:p>
    <w:tbl>
      <w:tblPr>
        <w:tblStyle w:val="24"/>
        <w:tblW w:w="99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789"/>
        <w:gridCol w:w="6940"/>
        <w:gridCol w:w="585"/>
        <w:gridCol w:w="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983" w:type="dxa"/>
            <w:vMerge w:val="restart"/>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w:t>
            </w:r>
          </w:p>
        </w:tc>
        <w:tc>
          <w:tcPr>
            <w:tcW w:w="7729" w:type="dxa"/>
            <w:gridSpan w:val="2"/>
            <w:vMerge w:val="restart"/>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评审内容</w:t>
            </w:r>
          </w:p>
        </w:tc>
        <w:tc>
          <w:tcPr>
            <w:tcW w:w="1286" w:type="dxa"/>
            <w:gridSpan w:val="2"/>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729" w:type="dxa"/>
            <w:gridSpan w:val="2"/>
            <w:vMerge w:val="continue"/>
            <w:noWrap w:val="0"/>
            <w:vAlign w:val="top"/>
          </w:tcPr>
          <w:p>
            <w:pPr>
              <w:shd w:val="clear" w:color="auto" w:fill="auto"/>
              <w:outlineLvl w:val="9"/>
              <w:rPr>
                <w:rFonts w:hint="eastAsia" w:ascii="仿宋" w:hAnsi="仿宋" w:eastAsia="仿宋" w:cs="仿宋"/>
                <w:color w:val="auto"/>
                <w:sz w:val="24"/>
                <w:szCs w:val="24"/>
                <w:highlight w:val="none"/>
              </w:rPr>
            </w:pPr>
          </w:p>
        </w:tc>
        <w:tc>
          <w:tcPr>
            <w:tcW w:w="585" w:type="dxa"/>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是</w:t>
            </w:r>
          </w:p>
        </w:tc>
        <w:tc>
          <w:tcPr>
            <w:tcW w:w="701" w:type="dxa"/>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83" w:type="dxa"/>
            <w:vMerge w:val="continue"/>
            <w:noWrap w:val="0"/>
            <w:vAlign w:val="center"/>
          </w:tcPr>
          <w:p>
            <w:pPr>
              <w:shd w:val="clear" w:color="auto" w:fill="auto"/>
              <w:jc w:val="center"/>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（三证合一）营业执照</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法定代表人投标需提供法定代表人资格证明书，委托代理人投标需提供法定代表人授权委托书；</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eastAsia="zh-CN" w:bidi="ar"/>
              </w:rPr>
              <w:t>参加采购活动前三年内，在经营活动中没有重大违法记录，供应商须提供 “信用中国”网站（http://www.creditchina.gov.cn/）、“中国政府采购网”网站（http://www.ccgp.gov.cn）无违法违规行为的查询纪录（提供查询结果网页截图并加盖供应商公章）；</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eastAsia="zh-CN" w:bidi="ar"/>
              </w:rPr>
              <w:t>投标</w:t>
            </w:r>
            <w:r>
              <w:rPr>
                <w:rFonts w:hint="eastAsia" w:ascii="仿宋" w:hAnsi="仿宋" w:eastAsia="仿宋" w:cs="仿宋"/>
                <w:color w:val="auto"/>
                <w:kern w:val="0"/>
                <w:sz w:val="24"/>
                <w:szCs w:val="24"/>
                <w:highlight w:val="none"/>
                <w:lang w:bidi="ar"/>
              </w:rPr>
              <w:t>保证金收据</w:t>
            </w:r>
            <w:r>
              <w:rPr>
                <w:rFonts w:hint="eastAsia" w:ascii="仿宋" w:hAnsi="仿宋" w:eastAsia="仿宋" w:cs="仿宋"/>
                <w:color w:val="auto"/>
                <w:kern w:val="0"/>
                <w:sz w:val="24"/>
                <w:szCs w:val="24"/>
                <w:highlight w:val="none"/>
                <w:lang w:eastAsia="zh-CN" w:bidi="ar"/>
              </w:rPr>
              <w:t>或保函等票据</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6</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kern w:val="0"/>
                <w:sz w:val="24"/>
                <w:szCs w:val="24"/>
                <w:highlight w:val="none"/>
                <w:lang w:eastAsia="zh-CN" w:bidi="ar"/>
              </w:rPr>
            </w:pPr>
            <w:r>
              <w:rPr>
                <w:rFonts w:hint="eastAsia" w:ascii="仿宋" w:hAnsi="仿宋" w:eastAsia="仿宋" w:cs="仿宋"/>
                <w:b w:val="0"/>
                <w:bCs w:val="0"/>
                <w:i w:val="0"/>
                <w:iCs w:val="0"/>
                <w:caps w:val="0"/>
                <w:color w:val="000000"/>
                <w:spacing w:val="0"/>
                <w:sz w:val="24"/>
                <w:szCs w:val="24"/>
                <w:highlight w:val="none"/>
                <w:lang w:eastAsia="zh-CN"/>
              </w:rPr>
              <w:t>投标企业须提供投标人（被授权在职人员）近期社保证明</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983" w:type="dxa"/>
            <w:vMerge w:val="continue"/>
            <w:noWrap w:val="0"/>
            <w:vAlign w:val="center"/>
          </w:tcPr>
          <w:p>
            <w:pPr>
              <w:shd w:val="clear" w:color="auto" w:fill="auto"/>
              <w:jc w:val="center"/>
              <w:outlineLvl w:val="9"/>
              <w:rPr>
                <w:rFonts w:hint="eastAsia" w:ascii="仿宋" w:hAnsi="仿宋" w:eastAsia="仿宋" w:cs="仿宋"/>
                <w:color w:val="auto"/>
                <w:sz w:val="24"/>
                <w:szCs w:val="24"/>
                <w:highlight w:val="none"/>
              </w:rPr>
            </w:pPr>
          </w:p>
        </w:tc>
        <w:tc>
          <w:tcPr>
            <w:tcW w:w="789" w:type="dxa"/>
            <w:noWrap w:val="0"/>
            <w:vAlign w:val="top"/>
          </w:tcPr>
          <w:p>
            <w:pPr>
              <w:shd w:val="clear" w:color="auto" w:fill="auto"/>
              <w:spacing w:line="440" w:lineRule="exact"/>
              <w:outlineLvl w:val="9"/>
              <w:rPr>
                <w:rFonts w:hint="eastAsia" w:ascii="仿宋" w:hAnsi="仿宋" w:eastAsia="仿宋" w:cs="仿宋"/>
                <w:color w:val="auto"/>
                <w:sz w:val="24"/>
                <w:szCs w:val="24"/>
                <w:highlight w:val="none"/>
              </w:rPr>
            </w:pPr>
          </w:p>
        </w:tc>
        <w:tc>
          <w:tcPr>
            <w:tcW w:w="6940" w:type="dxa"/>
            <w:noWrap w:val="0"/>
            <w:vAlign w:val="top"/>
          </w:tcPr>
          <w:p>
            <w:pPr>
              <w:shd w:val="clear" w:color="auto" w:fil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结论：是否通过评审（须填写通过或不通过）</w:t>
            </w:r>
          </w:p>
          <w:p>
            <w:pPr>
              <w:shd w:val="clear" w:color="auto" w:fil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注：如有一项不合格，作废标处理。</w:t>
            </w:r>
          </w:p>
        </w:tc>
        <w:tc>
          <w:tcPr>
            <w:tcW w:w="1286" w:type="dxa"/>
            <w:gridSpan w:val="2"/>
            <w:noWrap w:val="0"/>
            <w:vAlign w:val="top"/>
          </w:tcPr>
          <w:p>
            <w:pPr>
              <w:shd w:val="clear" w:color="auto" w:fill="auto"/>
              <w:outlineLvl w:val="9"/>
              <w:rPr>
                <w:rFonts w:hint="eastAsia" w:ascii="仿宋" w:hAnsi="仿宋" w:eastAsia="仿宋" w:cs="仿宋"/>
                <w:color w:val="auto"/>
                <w:sz w:val="24"/>
                <w:szCs w:val="24"/>
                <w:highlight w:val="none"/>
              </w:rPr>
            </w:pPr>
          </w:p>
        </w:tc>
      </w:tr>
    </w:tbl>
    <w:p>
      <w:pPr>
        <w:shd w:val="clear" w:color="auto" w:fill="auto"/>
        <w:spacing w:line="400" w:lineRule="exact"/>
        <w:ind w:firstLine="578" w:firstLineChars="241"/>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6</w:t>
      </w:r>
      <w:r>
        <w:rPr>
          <w:rFonts w:hint="eastAsia" w:ascii="仿宋" w:hAnsi="仿宋" w:eastAsia="仿宋" w:cs="仿宋"/>
          <w:b/>
          <w:color w:val="auto"/>
          <w:sz w:val="24"/>
          <w:szCs w:val="24"/>
          <w:highlight w:val="none"/>
        </w:rPr>
        <w:t>.2如评标专家在检验电子标书过程中，如果由于投标人自身原因导致评标专家无法查看并检验电子标书中以上相关资料的，否决其投标。即使投标单位将原件携带至现场的，同样按无效投标处理。</w:t>
      </w:r>
    </w:p>
    <w:p>
      <w:pPr>
        <w:shd w:val="clear" w:color="auto" w:fill="auto"/>
        <w:spacing w:before="156" w:beforeLines="50" w:line="440" w:lineRule="exact"/>
        <w:ind w:firstLine="240" w:firstLineChars="100"/>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7</w:t>
      </w:r>
      <w:r>
        <w:rPr>
          <w:rFonts w:hint="eastAsia" w:ascii="仿宋" w:hAnsi="仿宋" w:eastAsia="仿宋" w:cs="仿宋"/>
          <w:b/>
          <w:color w:val="auto"/>
          <w:sz w:val="24"/>
          <w:szCs w:val="24"/>
          <w:highlight w:val="none"/>
        </w:rPr>
        <w:t>.符合性审查</w:t>
      </w:r>
    </w:p>
    <w:p>
      <w:pPr>
        <w:shd w:val="clear" w:color="auto" w:fill="auto"/>
        <w:spacing w:line="440" w:lineRule="exact"/>
        <w:ind w:firstLine="360" w:firstLineChars="1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．1评审细则</w:t>
      </w:r>
    </w:p>
    <w:tbl>
      <w:tblPr>
        <w:tblStyle w:val="24"/>
        <w:tblpPr w:leftFromText="180" w:rightFromText="180" w:vertAnchor="text" w:horzAnchor="page" w:tblpX="1293" w:tblpY="544"/>
        <w:tblW w:w="943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37"/>
        <w:gridCol w:w="561"/>
        <w:gridCol w:w="6271"/>
        <w:gridCol w:w="482"/>
        <w:gridCol w:w="88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3" w:hRule="atLeast"/>
        </w:trPr>
        <w:tc>
          <w:tcPr>
            <w:tcW w:w="1237" w:type="dxa"/>
            <w:tcBorders>
              <w:top w:val="single" w:color="auto" w:sz="4" w:space="0"/>
              <w:left w:val="single" w:color="auto" w:sz="4" w:space="0"/>
            </w:tcBorders>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w:t>
            </w:r>
          </w:p>
        </w:tc>
        <w:tc>
          <w:tcPr>
            <w:tcW w:w="6832" w:type="dxa"/>
            <w:gridSpan w:val="2"/>
            <w:tcBorders>
              <w:top w:val="single" w:color="auto" w:sz="4" w:space="0"/>
            </w:tcBorders>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评审内容</w:t>
            </w:r>
          </w:p>
        </w:tc>
        <w:tc>
          <w:tcPr>
            <w:tcW w:w="1366" w:type="dxa"/>
            <w:gridSpan w:val="2"/>
            <w:tcBorders>
              <w:top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评审意见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5" w:hRule="atLeast"/>
        </w:trPr>
        <w:tc>
          <w:tcPr>
            <w:tcW w:w="1237" w:type="dxa"/>
            <w:tcBorders>
              <w:left w:val="single" w:color="auto" w:sz="4" w:space="0"/>
              <w:bottom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6832" w:type="dxa"/>
            <w:gridSpan w:val="2"/>
            <w:tcBorders>
              <w:bottom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482" w:type="dxa"/>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是</w:t>
            </w:r>
          </w:p>
        </w:tc>
        <w:tc>
          <w:tcPr>
            <w:tcW w:w="884" w:type="dxa"/>
            <w:tcBorders>
              <w:right w:val="single" w:color="auto" w:sz="4" w:space="0"/>
            </w:tcBorders>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0" w:hRule="atLeast"/>
        </w:trPr>
        <w:tc>
          <w:tcPr>
            <w:tcW w:w="1237" w:type="dxa"/>
            <w:vMerge w:val="restart"/>
            <w:tcBorders>
              <w:top w:val="single" w:color="auto" w:sz="4" w:space="0"/>
              <w:left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审</w:t>
            </w:r>
          </w:p>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查</w:t>
            </w:r>
          </w:p>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标</w:t>
            </w:r>
          </w:p>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准</w:t>
            </w:r>
          </w:p>
        </w:tc>
        <w:tc>
          <w:tcPr>
            <w:tcW w:w="561" w:type="dxa"/>
            <w:tcBorders>
              <w:top w:val="single" w:color="auto" w:sz="4" w:space="0"/>
              <w:left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6271" w:type="dxa"/>
            <w:tcBorders>
              <w:top w:val="single" w:color="auto" w:sz="4" w:space="0"/>
              <w:left w:val="single" w:color="auto" w:sz="4" w:space="0"/>
              <w:right w:val="single" w:color="auto" w:sz="4" w:space="0"/>
            </w:tcBorders>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bidi="ar"/>
              </w:rPr>
              <w:t xml:space="preserve">由政府立项核准、审批的采购项目, </w:t>
            </w:r>
            <w:r>
              <w:rPr>
                <w:rFonts w:hint="eastAsia" w:ascii="仿宋" w:hAnsi="仿宋" w:eastAsia="仿宋" w:cs="仿宋"/>
                <w:color w:val="auto"/>
                <w:kern w:val="0"/>
                <w:sz w:val="24"/>
                <w:szCs w:val="24"/>
                <w:highlight w:val="none"/>
                <w:lang w:val="en-US" w:eastAsia="zh-CN" w:bidi="ar"/>
              </w:rPr>
              <w:t>投标</w:t>
            </w:r>
            <w:r>
              <w:rPr>
                <w:rFonts w:hint="eastAsia" w:ascii="仿宋" w:hAnsi="仿宋" w:eastAsia="仿宋" w:cs="仿宋"/>
                <w:color w:val="auto"/>
                <w:kern w:val="0"/>
                <w:sz w:val="24"/>
                <w:szCs w:val="24"/>
                <w:highlight w:val="none"/>
                <w:lang w:bidi="ar"/>
              </w:rPr>
              <w:t>报价</w:t>
            </w:r>
            <w:r>
              <w:rPr>
                <w:rFonts w:hint="eastAsia" w:ascii="仿宋" w:hAnsi="仿宋" w:eastAsia="仿宋" w:cs="仿宋"/>
                <w:color w:val="auto"/>
                <w:kern w:val="0"/>
                <w:sz w:val="24"/>
                <w:szCs w:val="24"/>
                <w:highlight w:val="none"/>
                <w:lang w:val="en-US" w:eastAsia="zh-CN" w:bidi="ar"/>
              </w:rPr>
              <w:t>低于</w:t>
            </w:r>
            <w:r>
              <w:rPr>
                <w:rFonts w:hint="eastAsia" w:ascii="仿宋" w:hAnsi="仿宋" w:eastAsia="仿宋" w:cs="仿宋"/>
                <w:color w:val="auto"/>
                <w:kern w:val="0"/>
                <w:sz w:val="24"/>
                <w:szCs w:val="24"/>
                <w:highlight w:val="none"/>
                <w:lang w:bidi="ar"/>
              </w:rPr>
              <w:t>设定的采购预算价的</w:t>
            </w:r>
            <w:r>
              <w:rPr>
                <w:rFonts w:hint="eastAsia" w:ascii="仿宋" w:hAnsi="仿宋" w:eastAsia="仿宋" w:cs="仿宋"/>
                <w:color w:val="auto"/>
                <w:kern w:val="0"/>
                <w:sz w:val="24"/>
                <w:szCs w:val="24"/>
                <w:highlight w:val="none"/>
                <w:lang w:eastAsia="zh-CN" w:bidi="ar"/>
              </w:rPr>
              <w:t>。</w:t>
            </w:r>
          </w:p>
        </w:tc>
        <w:tc>
          <w:tcPr>
            <w:tcW w:w="482" w:type="dxa"/>
            <w:tcBorders>
              <w:left w:val="single" w:color="auto" w:sz="4" w:space="0"/>
              <w:right w:val="single" w:color="auto" w:sz="4" w:space="0"/>
            </w:tcBorders>
            <w:noWrap w:val="0"/>
            <w:vAlign w:val="top"/>
          </w:tcPr>
          <w:p>
            <w:pPr>
              <w:shd w:val="clear" w:color="auto" w:fill="auto"/>
              <w:jc w:val="center"/>
              <w:outlineLvl w:val="9"/>
              <w:rPr>
                <w:rFonts w:hint="eastAsia" w:ascii="仿宋" w:hAnsi="仿宋" w:eastAsia="仿宋" w:cs="仿宋"/>
                <w:b/>
                <w:color w:val="auto"/>
                <w:sz w:val="24"/>
                <w:szCs w:val="24"/>
                <w:highlight w:val="none"/>
              </w:rPr>
            </w:pPr>
          </w:p>
        </w:tc>
        <w:tc>
          <w:tcPr>
            <w:tcW w:w="884" w:type="dxa"/>
            <w:tcBorders>
              <w:left w:val="single" w:color="auto" w:sz="4" w:space="0"/>
              <w:right w:val="single" w:color="auto" w:sz="4" w:space="0"/>
            </w:tcBorders>
            <w:noWrap w:val="0"/>
            <w:vAlign w:val="top"/>
          </w:tcPr>
          <w:p>
            <w:pPr>
              <w:shd w:val="clear" w:color="auto" w:fill="auto"/>
              <w:jc w:val="center"/>
              <w:outlineLvl w:val="9"/>
              <w:rPr>
                <w:rFonts w:hint="eastAsia" w:ascii="仿宋" w:hAnsi="仿宋" w:eastAsia="仿宋" w:cs="仿宋"/>
                <w:b/>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6271" w:type="dxa"/>
            <w:tcBorders>
              <w:top w:val="single" w:color="auto" w:sz="4" w:space="0"/>
              <w:left w:val="single" w:color="auto" w:sz="4" w:space="0"/>
              <w:bottom w:val="single" w:color="auto" w:sz="4" w:space="0"/>
              <w:right w:val="single" w:color="auto" w:sz="4" w:space="0"/>
            </w:tcBorders>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法定代表人身份证明及授权委托书有效，且符合招标文件规定的格式。</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8"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top w:val="single" w:color="auto" w:sz="4" w:space="0"/>
              <w:left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6271" w:type="dxa"/>
            <w:tcBorders>
              <w:top w:val="single" w:color="auto" w:sz="4" w:space="0"/>
              <w:left w:val="single" w:color="auto" w:sz="4" w:space="0"/>
              <w:right w:val="single" w:color="auto" w:sz="4" w:space="0"/>
            </w:tcBorders>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只有一个方案投标。</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4"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lef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p>
        </w:tc>
        <w:tc>
          <w:tcPr>
            <w:tcW w:w="6271" w:type="dxa"/>
            <w:tcBorders>
              <w:right w:val="single" w:color="auto" w:sz="4" w:space="0"/>
            </w:tcBorders>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投标文件内容齐全、无遗漏。</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9"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left w:val="single" w:color="auto" w:sz="4" w:space="0"/>
              <w:bottom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6271" w:type="dxa"/>
            <w:tcBorders>
              <w:bottom w:val="single" w:color="auto" w:sz="4" w:space="0"/>
              <w:right w:val="single" w:color="auto" w:sz="4" w:space="0"/>
            </w:tcBorders>
            <w:noWrap w:val="0"/>
            <w:vAlign w:val="center"/>
          </w:tcPr>
          <w:p>
            <w:pPr>
              <w:widowControl/>
              <w:shd w:val="clear" w:color="auto" w:fill="auto"/>
              <w:ind w:left="0" w:leftChars="0" w:right="0" w:rightChars="0" w:firstLine="0" w:firstLineChars="0"/>
              <w:jc w:val="left"/>
              <w:textAlignment w:val="center"/>
              <w:outlineLvl w:val="9"/>
              <w:rPr>
                <w:rFonts w:hint="eastAsia" w:ascii="仿宋" w:hAnsi="仿宋" w:eastAsia="仿宋" w:cs="仿宋"/>
                <w:color w:val="auto"/>
                <w:spacing w:val="0"/>
                <w:w w:val="100"/>
                <w:position w:val="0"/>
                <w:sz w:val="24"/>
                <w:szCs w:val="24"/>
                <w:highlight w:val="none"/>
                <w:shd w:val="clear" w:color="auto" w:fill="auto"/>
                <w:lang w:val="en-US" w:eastAsia="en-US" w:bidi="en-US"/>
              </w:rPr>
            </w:pPr>
            <w:r>
              <w:rPr>
                <w:rFonts w:hint="eastAsia" w:ascii="仿宋" w:hAnsi="仿宋" w:eastAsia="仿宋" w:cs="仿宋"/>
                <w:color w:val="auto"/>
                <w:kern w:val="0"/>
                <w:sz w:val="24"/>
                <w:szCs w:val="24"/>
                <w:highlight w:val="none"/>
                <w:lang w:bidi="ar"/>
              </w:rPr>
              <w:t>完成期限满足招标文件要求。</w:t>
            </w:r>
          </w:p>
        </w:tc>
        <w:tc>
          <w:tcPr>
            <w:tcW w:w="482" w:type="dxa"/>
            <w:tcBorders>
              <w:left w:val="single" w:color="auto" w:sz="4" w:space="0"/>
              <w:bottom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bottom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0"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6271" w:type="dxa"/>
            <w:tcBorders>
              <w:top w:val="single" w:color="auto" w:sz="4" w:space="0"/>
              <w:left w:val="single" w:color="auto" w:sz="4" w:space="0"/>
              <w:bottom w:val="single" w:color="auto" w:sz="4" w:space="0"/>
              <w:right w:val="single" w:color="auto" w:sz="4" w:space="0"/>
            </w:tcBorders>
            <w:noWrap w:val="0"/>
            <w:vAlign w:val="center"/>
          </w:tcPr>
          <w:p>
            <w:pPr>
              <w:widowControl/>
              <w:shd w:val="clear" w:color="auto" w:fill="auto"/>
              <w:ind w:left="0" w:leftChars="0" w:right="0" w:rightChars="0" w:firstLine="0" w:firstLineChars="0"/>
              <w:jc w:val="left"/>
              <w:textAlignment w:val="center"/>
              <w:outlineLvl w:val="9"/>
              <w:rPr>
                <w:rFonts w:hint="eastAsia" w:ascii="仿宋" w:hAnsi="仿宋" w:eastAsia="仿宋" w:cs="仿宋"/>
                <w:color w:val="auto"/>
                <w:spacing w:val="0"/>
                <w:w w:val="100"/>
                <w:position w:val="0"/>
                <w:sz w:val="24"/>
                <w:szCs w:val="24"/>
                <w:highlight w:val="none"/>
                <w:shd w:val="clear" w:color="auto" w:fill="auto"/>
                <w:lang w:val="en-US" w:eastAsia="en-US" w:bidi="en-US"/>
              </w:rPr>
            </w:pPr>
            <w:r>
              <w:rPr>
                <w:rFonts w:hint="eastAsia" w:ascii="仿宋" w:hAnsi="仿宋" w:eastAsia="仿宋" w:cs="仿宋"/>
                <w:color w:val="auto"/>
                <w:spacing w:val="0"/>
                <w:w w:val="100"/>
                <w:position w:val="0"/>
                <w:sz w:val="24"/>
                <w:szCs w:val="24"/>
                <w:highlight w:val="none"/>
                <w:shd w:val="clear" w:color="auto" w:fill="auto"/>
                <w:lang w:val="en-US" w:eastAsia="en-US" w:bidi="en-US"/>
              </w:rPr>
              <w:t>投标文件载明的功能需求、验收标准和方法等符合招标文件的要求；</w:t>
            </w:r>
          </w:p>
        </w:tc>
        <w:tc>
          <w:tcPr>
            <w:tcW w:w="482" w:type="dxa"/>
            <w:tcBorders>
              <w:top w:val="single" w:color="auto" w:sz="4" w:space="0"/>
              <w:left w:val="single" w:color="auto" w:sz="4" w:space="0"/>
              <w:bottom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top w:val="single" w:color="auto" w:sz="4" w:space="0"/>
              <w:left w:val="single" w:color="auto" w:sz="4" w:space="0"/>
              <w:bottom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top w:val="single" w:color="auto" w:sz="4" w:space="0"/>
              <w:lef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6271" w:type="dxa"/>
            <w:tcBorders>
              <w:top w:val="single" w:color="auto" w:sz="4" w:space="0"/>
              <w:right w:val="single" w:color="auto" w:sz="4" w:space="0"/>
            </w:tcBorders>
            <w:noWrap w:val="0"/>
            <w:vAlign w:val="center"/>
          </w:tcPr>
          <w:p>
            <w:pPr>
              <w:widowControl/>
              <w:shd w:val="clear" w:color="auto" w:fill="auto"/>
              <w:ind w:left="0" w:leftChars="0" w:right="0" w:rightChars="0" w:firstLine="0" w:firstLineChars="0"/>
              <w:jc w:val="left"/>
              <w:textAlignment w:val="center"/>
              <w:outlineLvl w:val="9"/>
              <w:rPr>
                <w:rFonts w:hint="eastAsia" w:ascii="仿宋" w:hAnsi="仿宋" w:eastAsia="仿宋" w:cs="仿宋"/>
                <w:color w:val="auto"/>
                <w:spacing w:val="0"/>
                <w:w w:val="100"/>
                <w:position w:val="0"/>
                <w:sz w:val="24"/>
                <w:szCs w:val="24"/>
                <w:highlight w:val="none"/>
                <w:shd w:val="clear" w:color="auto" w:fill="auto"/>
                <w:lang w:val="en-US" w:eastAsia="en-US" w:bidi="en-US"/>
              </w:rPr>
            </w:pPr>
            <w:r>
              <w:rPr>
                <w:rFonts w:hint="eastAsia" w:ascii="仿宋" w:hAnsi="仿宋" w:eastAsia="仿宋" w:cs="仿宋"/>
                <w:color w:val="auto"/>
                <w:kern w:val="0"/>
                <w:sz w:val="24"/>
                <w:szCs w:val="24"/>
                <w:highlight w:val="none"/>
                <w:lang w:bidi="ar"/>
              </w:rPr>
              <w:t>投标有效期满足招标文件要求。</w:t>
            </w:r>
          </w:p>
        </w:tc>
        <w:tc>
          <w:tcPr>
            <w:tcW w:w="482" w:type="dxa"/>
            <w:tcBorders>
              <w:top w:val="single" w:color="auto" w:sz="4" w:space="0"/>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top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4"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lef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6271" w:type="dxa"/>
            <w:tcBorders>
              <w:right w:val="single" w:color="auto" w:sz="4" w:space="0"/>
            </w:tcBorders>
            <w:noWrap w:val="0"/>
            <w:vAlign w:val="center"/>
          </w:tcPr>
          <w:p>
            <w:pPr>
              <w:widowControl/>
              <w:shd w:val="clear" w:color="auto" w:fill="auto"/>
              <w:ind w:left="0" w:leftChars="0" w:right="0" w:rightChars="0" w:firstLine="0" w:firstLineChars="0"/>
              <w:jc w:val="left"/>
              <w:textAlignment w:val="center"/>
              <w:outlineLvl w:val="9"/>
              <w:rPr>
                <w:rFonts w:hint="eastAsia" w:ascii="仿宋" w:hAnsi="仿宋" w:eastAsia="仿宋" w:cs="仿宋"/>
                <w:color w:val="auto"/>
                <w:spacing w:val="0"/>
                <w:w w:val="100"/>
                <w:position w:val="0"/>
                <w:sz w:val="24"/>
                <w:szCs w:val="24"/>
                <w:highlight w:val="none"/>
                <w:shd w:val="clear" w:color="auto" w:fill="auto"/>
                <w:lang w:val="en-US" w:eastAsia="en-US" w:bidi="en-US"/>
              </w:rPr>
            </w:pPr>
            <w:r>
              <w:rPr>
                <w:rFonts w:hint="eastAsia" w:ascii="仿宋" w:hAnsi="仿宋" w:eastAsia="仿宋" w:cs="仿宋"/>
                <w:b w:val="0"/>
                <w:bCs w:val="0"/>
                <w:color w:val="auto"/>
                <w:kern w:val="0"/>
                <w:sz w:val="24"/>
                <w:szCs w:val="24"/>
                <w:highlight w:val="none"/>
                <w:lang w:bidi="ar"/>
              </w:rPr>
              <w:t>投标人详细地址、联系人、电话</w:t>
            </w:r>
            <w:r>
              <w:rPr>
                <w:rFonts w:hint="eastAsia" w:ascii="仿宋" w:hAnsi="仿宋" w:eastAsia="仿宋" w:cs="仿宋"/>
                <w:b w:val="0"/>
                <w:bCs w:val="0"/>
                <w:color w:val="auto"/>
                <w:kern w:val="0"/>
                <w:sz w:val="24"/>
                <w:szCs w:val="24"/>
                <w:highlight w:val="none"/>
                <w:lang w:eastAsia="zh-CN" w:bidi="ar"/>
              </w:rPr>
              <w:t>。</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lef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p>
        </w:tc>
        <w:tc>
          <w:tcPr>
            <w:tcW w:w="6271" w:type="dxa"/>
            <w:tcBorders>
              <w:right w:val="single" w:color="auto" w:sz="4" w:space="0"/>
            </w:tcBorders>
            <w:noWrap w:val="0"/>
            <w:vAlign w:val="center"/>
          </w:tcPr>
          <w:p>
            <w:pPr>
              <w:widowControl/>
              <w:shd w:val="clear" w:color="auto" w:fill="auto"/>
              <w:ind w:left="0" w:leftChars="0" w:right="0" w:rightChars="0" w:firstLine="0" w:firstLineChars="0"/>
              <w:jc w:val="left"/>
              <w:textAlignment w:val="center"/>
              <w:outlineLvl w:val="9"/>
              <w:rPr>
                <w:rFonts w:hint="eastAsia" w:ascii="仿宋" w:hAnsi="仿宋" w:eastAsia="仿宋" w:cs="仿宋"/>
                <w:color w:val="auto"/>
                <w:spacing w:val="0"/>
                <w:w w:val="100"/>
                <w:position w:val="0"/>
                <w:sz w:val="24"/>
                <w:szCs w:val="24"/>
                <w:highlight w:val="none"/>
                <w:shd w:val="clear" w:color="auto" w:fill="auto"/>
                <w:lang w:val="en-US" w:eastAsia="zh-CN" w:bidi="en-US"/>
              </w:rPr>
            </w:pPr>
            <w:r>
              <w:rPr>
                <w:rFonts w:hint="eastAsia" w:ascii="仿宋" w:hAnsi="仿宋" w:eastAsia="仿宋" w:cs="仿宋"/>
                <w:b w:val="0"/>
                <w:bCs w:val="0"/>
                <w:color w:val="auto"/>
                <w:kern w:val="0"/>
                <w:sz w:val="24"/>
                <w:szCs w:val="24"/>
                <w:highlight w:val="none"/>
                <w:lang w:eastAsia="zh-CN" w:bidi="ar"/>
              </w:rPr>
              <w:t>投标文件</w:t>
            </w:r>
            <w:r>
              <w:rPr>
                <w:rFonts w:hint="eastAsia" w:ascii="仿宋" w:hAnsi="仿宋" w:eastAsia="仿宋" w:cs="仿宋"/>
                <w:b w:val="0"/>
                <w:bCs w:val="0"/>
                <w:color w:val="auto"/>
                <w:kern w:val="0"/>
                <w:sz w:val="24"/>
                <w:szCs w:val="24"/>
                <w:highlight w:val="none"/>
                <w:lang w:bidi="ar"/>
              </w:rPr>
              <w:t>按照规定在应由企业法人或法人授权代表在所有规定签章处逐一签署及加盖单位公章的；</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5"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lef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6271" w:type="dxa"/>
            <w:tcBorders>
              <w:right w:val="single" w:color="auto" w:sz="4" w:space="0"/>
            </w:tcBorders>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不符合法律、法规和招标文件中规定的其他实质性要求。</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9" w:hRule="atLeast"/>
        </w:trPr>
        <w:tc>
          <w:tcPr>
            <w:tcW w:w="1237" w:type="dxa"/>
            <w:tcBorders>
              <w:left w:val="single" w:color="auto" w:sz="4" w:space="0"/>
              <w:bottom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p>
        </w:tc>
        <w:tc>
          <w:tcPr>
            <w:tcW w:w="6832" w:type="dxa"/>
            <w:gridSpan w:val="2"/>
            <w:tcBorders>
              <w:left w:val="single" w:color="auto" w:sz="4" w:space="0"/>
              <w:bottom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结论：是否通过评审（须填写通过或不通过）</w:t>
            </w:r>
          </w:p>
          <w:p>
            <w:pPr>
              <w:shd w:val="clear" w:color="auto" w:fil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注：如有一项不合格，作废标处理。</w:t>
            </w:r>
          </w:p>
        </w:tc>
        <w:tc>
          <w:tcPr>
            <w:tcW w:w="1366" w:type="dxa"/>
            <w:gridSpan w:val="2"/>
            <w:tcBorders>
              <w:left w:val="single" w:color="auto" w:sz="4" w:space="0"/>
              <w:bottom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bl>
    <w:p>
      <w:pPr>
        <w:shd w:val="clear" w:color="auto" w:fill="auto"/>
        <w:bidi w:val="0"/>
        <w:outlineLvl w:val="9"/>
        <w:rPr>
          <w:rFonts w:hint="eastAsia" w:ascii="仿宋" w:hAnsi="仿宋" w:eastAsia="仿宋" w:cs="仿宋"/>
          <w:color w:val="auto"/>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578" w:firstLineChars="241"/>
        <w:textAlignment w:val="auto"/>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.2评委会判定投标文件的响应性只根据投标文件本身的内容，而不寻求外部的证据，但投标有不真实不正确的内容时除外。</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578" w:firstLineChars="241"/>
        <w:textAlignment w:val="auto"/>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.3如果投标文件实质上没有响应</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的要求，评委会将予以拒绝，投标人不得通过修正或撤销不符合要求的偏离或保留，而使其投标成为实质上响应的投标。</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480" w:firstLineChars="200"/>
        <w:textAlignment w:val="auto"/>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.4投标人可在现场20分钟内对评标委员会的评审结论提出异议，评标委员会根据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及有关规定对投标人的异议进行复议</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00" w:firstLineChars="250"/>
        <w:textAlignment w:val="auto"/>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.5只有通过初审的投标人才能进入下一步评标程序。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480" w:firstLineChars="200"/>
        <w:textAlignment w:val="auto"/>
        <w:outlineLvl w:val="9"/>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50" w:line="360" w:lineRule="exact"/>
        <w:jc w:val="center"/>
        <w:textAlignment w:val="auto"/>
        <w:outlineLvl w:val="9"/>
        <w:rPr>
          <w:rFonts w:hint="eastAsia" w:ascii="仿宋" w:hAnsi="仿宋" w:eastAsia="仿宋" w:cs="仿宋"/>
          <w:b/>
          <w:color w:val="auto"/>
          <w:sz w:val="24"/>
          <w:highlight w:val="none"/>
        </w:rPr>
      </w:pPr>
      <w:bookmarkStart w:id="48" w:name="_Toc469495734"/>
      <w:bookmarkStart w:id="49" w:name="_Toc362983803"/>
      <w:r>
        <w:rPr>
          <w:rFonts w:hint="eastAsia" w:ascii="仿宋" w:hAnsi="仿宋" w:eastAsia="仿宋" w:cs="仿宋"/>
          <w:b/>
          <w:color w:val="auto"/>
          <w:sz w:val="28"/>
          <w:szCs w:val="28"/>
          <w:highlight w:val="none"/>
        </w:rPr>
        <w:t xml:space="preserve">三  </w:t>
      </w:r>
      <w:r>
        <w:rPr>
          <w:rFonts w:hint="eastAsia" w:ascii="仿宋" w:hAnsi="仿宋" w:eastAsia="仿宋" w:cs="仿宋"/>
          <w:b/>
          <w:color w:val="auto"/>
          <w:sz w:val="24"/>
          <w:highlight w:val="none"/>
        </w:rPr>
        <w:t>投标文件的澄清和补正</w:t>
      </w:r>
      <w:bookmarkEnd w:id="48"/>
      <w:bookmarkEnd w:id="49"/>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8．澄清、说明或补正的形式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8.2投标供应商的澄清、说明或者补正应当通过“政府采购云平台”在线答复的方式提交，并加盖公章（电子印章），或者由法定代表人（负责人）或其授权的代表签章。投标供应商的澄清、说明或者补正不得超出投标文件的范围或者改变投标文件的实质性内容，不接受投标供应商主动对投标文件的澄清、说明或者补正。</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9．错误修正的原则</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9.1 投标函中表述的内容与报价表中不一致的，以报价表为准；报价表中的内容与报价明细表不一致的，以报价表为准；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9.2 投标文件中的大写金额和小写金额不一致的，以大写金额为准；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9.3 单价金额小数点或者百分比有明显错位的，以开标一览表的总价为准，并修改单价；</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9.4 总价金额与按单价汇总金额不一致的，以单价金额计算结果为准；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9.5 若用文字表示的数值与用数字表示的数值不一致，以文字表示的数值为准；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9.6 如有多报（指数量超出采购文件需求）、重报（指同一货物重复报价），其投标总价在评标过程中不予调整，如其中标，其合同价按其投标单价予以调整；</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9.7 对不同文字文本投标文件的解释发生异议的，以中文文本为准；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422" w:firstLineChars="192"/>
        <w:textAlignment w:val="auto"/>
        <w:outlineLvl w:val="9"/>
        <w:rPr>
          <w:rFonts w:hint="eastAsia" w:ascii="仿宋" w:hAnsi="仿宋" w:eastAsia="仿宋" w:cs="仿宋"/>
          <w:color w:val="auto"/>
          <w:sz w:val="22"/>
          <w:szCs w:val="20"/>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360" w:lineRule="exact"/>
        <w:jc w:val="center"/>
        <w:textAlignment w:val="auto"/>
        <w:outlineLvl w:val="9"/>
        <w:rPr>
          <w:rFonts w:hint="eastAsia" w:ascii="仿宋" w:hAnsi="仿宋" w:eastAsia="仿宋" w:cs="仿宋"/>
          <w:b/>
          <w:color w:val="auto"/>
          <w:sz w:val="24"/>
          <w:szCs w:val="24"/>
          <w:highlight w:val="none"/>
        </w:rPr>
      </w:pPr>
      <w:bookmarkStart w:id="50" w:name="_Toc469495735"/>
      <w:r>
        <w:rPr>
          <w:rFonts w:hint="eastAsia" w:ascii="仿宋" w:hAnsi="仿宋" w:eastAsia="仿宋" w:cs="仿宋"/>
          <w:b/>
          <w:color w:val="auto"/>
          <w:sz w:val="24"/>
          <w:szCs w:val="24"/>
          <w:highlight w:val="none"/>
        </w:rPr>
        <w:t>四 比较与评价</w:t>
      </w:r>
      <w:bookmarkEnd w:id="50"/>
    </w:p>
    <w:p>
      <w:pPr>
        <w:keepNext w:val="0"/>
        <w:keepLines w:val="0"/>
        <w:pageBreakBefore w:val="0"/>
        <w:widowControl w:val="0"/>
        <w:shd w:val="clear" w:color="auto" w:fill="auto"/>
        <w:tabs>
          <w:tab w:val="left" w:pos="72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Cs w:val="21"/>
          <w:highlight w:val="none"/>
          <w:lang w:bidi="ar-SA"/>
        </w:rPr>
      </w:pPr>
      <w:bookmarkStart w:id="51" w:name="_Toc362983805"/>
      <w:bookmarkStart w:id="52" w:name="_Toc469495736"/>
      <w:r>
        <w:rPr>
          <w:rFonts w:hint="eastAsia" w:ascii="仿宋" w:hAnsi="仿宋" w:eastAsia="仿宋" w:cs="仿宋"/>
          <w:color w:val="auto"/>
          <w:szCs w:val="21"/>
          <w:highlight w:val="none"/>
          <w:lang w:val="en-US" w:eastAsia="zh-CN" w:bidi="ar-SA"/>
        </w:rPr>
        <w:t>10.1</w:t>
      </w:r>
      <w:r>
        <w:rPr>
          <w:rFonts w:hint="eastAsia" w:ascii="仿宋" w:hAnsi="仿宋" w:eastAsia="仿宋" w:cs="仿宋"/>
          <w:color w:val="auto"/>
          <w:szCs w:val="21"/>
          <w:highlight w:val="none"/>
          <w:lang w:bidi="ar-SA"/>
        </w:rPr>
        <w:t>评标委员会按招标文件中规定的评标方法和标准，对资格性检查和符合性检查合格的投标文件进行商务和技术评估、综合比较与评价。</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w:t>
      </w:r>
      <w:r>
        <w:rPr>
          <w:rFonts w:hint="eastAsia" w:ascii="仿宋" w:hAnsi="仿宋" w:eastAsia="仿宋" w:cs="仿宋"/>
          <w:color w:val="auto"/>
          <w:szCs w:val="21"/>
          <w:highlight w:val="none"/>
          <w:lang w:bidi="ar-SA"/>
        </w:rPr>
        <w:t>评标委员会根据商务和技术评估的结果，采用综合评分法，分别对投标文件的商务、技术、价格等内容进行打分。其中，商务评估、技术评估、价格评估的评分权值（详见附件1）。</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bCs/>
          <w:color w:val="auto"/>
          <w:szCs w:val="21"/>
          <w:highlight w:val="none"/>
          <w:lang w:bidi="ar-SA"/>
        </w:rPr>
      </w:pPr>
      <w:r>
        <w:rPr>
          <w:rFonts w:hint="eastAsia" w:ascii="仿宋" w:hAnsi="仿宋" w:eastAsia="仿宋" w:cs="仿宋"/>
          <w:color w:val="auto"/>
          <w:szCs w:val="21"/>
          <w:highlight w:val="none"/>
          <w:lang w:val="en-US" w:eastAsia="zh-CN" w:bidi="ar-SA"/>
        </w:rPr>
        <w:t>10.</w:t>
      </w:r>
      <w:r>
        <w:rPr>
          <w:rFonts w:hint="eastAsia" w:ascii="仿宋" w:hAnsi="仿宋" w:eastAsia="仿宋" w:cs="仿宋"/>
          <w:bCs/>
          <w:color w:val="auto"/>
          <w:szCs w:val="21"/>
          <w:highlight w:val="none"/>
          <w:lang w:val="en-US" w:eastAsia="zh-CN" w:bidi="ar-SA"/>
        </w:rPr>
        <w:t>2.1</w:t>
      </w:r>
      <w:r>
        <w:rPr>
          <w:rFonts w:hint="eastAsia" w:ascii="仿宋" w:hAnsi="仿宋" w:eastAsia="仿宋" w:cs="仿宋"/>
          <w:bCs/>
          <w:color w:val="auto"/>
          <w:szCs w:val="21"/>
          <w:highlight w:val="none"/>
          <w:lang w:bidi="ar-SA"/>
        </w:rPr>
        <w:t>评委打分办法</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bCs/>
          <w:color w:val="auto"/>
          <w:szCs w:val="21"/>
          <w:highlight w:val="none"/>
          <w:lang w:bidi="ar-SA"/>
        </w:rPr>
        <w:t>（1）</w:t>
      </w:r>
      <w:r>
        <w:rPr>
          <w:rFonts w:hint="eastAsia" w:ascii="仿宋" w:hAnsi="仿宋" w:eastAsia="仿宋" w:cs="仿宋"/>
          <w:color w:val="auto"/>
          <w:szCs w:val="21"/>
          <w:highlight w:val="none"/>
          <w:lang w:bidi="ar-SA"/>
        </w:rPr>
        <w:t>参加评分的评委应尽力体现客观、实事求是，避免学派偏见和个人偏好。</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（2）衡量、对比的依据，应以招标文件、投标文件、提供的正式试验数据、质询澄清中的文字为准，口头回答和收集的资料只作为参考。</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（3）评分主要是为比较各投标人的价格、商务和技术综合排序。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（4）评委打分采取记名形式。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（5）各评委根据提供的技术打分表独立自主打分，任何人不得要求评委统一打分或统一确定等次顺序。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（6）对打分表中的每项条款，各评委应根据投标文件、澄清材料、招标文件要求，按满足的程度给投标人打分。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（7）评分程序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1)就投标人的投标文件对照整理出商务、技术评标因素对比表、偏差表，并在经过校核的基础上逐项打分。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2)各评委独立完成打分后，将评分表交给代理机构，由代理机构组织进行分数统计。</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3)最终汇总表中各投标人得分应为评委打分的算术平均值。</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ind w:firstLine="480" w:firstLineChars="200"/>
        <w:jc w:val="left"/>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（8）评分标准和细则（综合评分法评分标准）</w:t>
      </w:r>
    </w:p>
    <w:p>
      <w:pPr>
        <w:numPr>
          <w:ilvl w:val="0"/>
          <w:numId w:val="0"/>
        </w:numPr>
        <w:spacing w:line="440" w:lineRule="exact"/>
        <w:jc w:val="center"/>
        <w:outlineLvl w:val="9"/>
        <w:rPr>
          <w:rFonts w:hint="eastAsia" w:ascii="宋体" w:hAnsi="宋体" w:cs="宋体"/>
          <w:b/>
          <w:sz w:val="28"/>
          <w:szCs w:val="28"/>
          <w:highlight w:val="none"/>
        </w:rPr>
      </w:pPr>
      <w:bookmarkStart w:id="53" w:name="_Toc31252"/>
      <w:r>
        <w:rPr>
          <w:rFonts w:hint="eastAsia" w:ascii="宋体" w:hAnsi="宋体" w:eastAsia="宋体" w:cs="宋体"/>
          <w:b/>
          <w:sz w:val="28"/>
          <w:szCs w:val="28"/>
          <w:highlight w:val="none"/>
          <w:lang w:eastAsia="zh-CN"/>
        </w:rPr>
        <w:t>（</w:t>
      </w:r>
      <w:r>
        <w:rPr>
          <w:rFonts w:hint="eastAsia" w:ascii="宋体" w:hAnsi="宋体" w:eastAsia="宋体" w:cs="宋体"/>
          <w:b/>
          <w:sz w:val="28"/>
          <w:szCs w:val="28"/>
          <w:highlight w:val="none"/>
          <w:lang w:val="en-US" w:eastAsia="zh-CN"/>
        </w:rPr>
        <w:t>1-4包</w:t>
      </w:r>
      <w:r>
        <w:rPr>
          <w:rFonts w:hint="eastAsia" w:ascii="宋体" w:hAnsi="宋体" w:eastAsia="宋体" w:cs="宋体"/>
          <w:b/>
          <w:sz w:val="28"/>
          <w:szCs w:val="28"/>
          <w:highlight w:val="none"/>
          <w:lang w:eastAsia="zh-CN"/>
        </w:rPr>
        <w:t>）</w:t>
      </w:r>
      <w:r>
        <w:rPr>
          <w:rFonts w:hint="eastAsia" w:ascii="宋体" w:hAnsi="宋体" w:cs="宋体"/>
          <w:b/>
          <w:sz w:val="28"/>
          <w:szCs w:val="28"/>
          <w:highlight w:val="none"/>
        </w:rPr>
        <w:t>评分标准和细则</w:t>
      </w:r>
      <w:bookmarkEnd w:id="53"/>
    </w:p>
    <w:tbl>
      <w:tblPr>
        <w:tblStyle w:val="24"/>
        <w:tblpPr w:leftFromText="180" w:rightFromText="180" w:vertAnchor="text" w:horzAnchor="page" w:tblpX="1557" w:tblpY="93"/>
        <w:tblOverlap w:val="never"/>
        <w:tblW w:w="89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9"/>
        <w:gridCol w:w="6376"/>
        <w:gridCol w:w="1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1369"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b/>
                <w:bCs/>
                <w:color w:val="auto"/>
                <w:sz w:val="18"/>
                <w:szCs w:val="18"/>
                <w:highlight w:val="none"/>
                <w:lang w:eastAsia="zh-CN" w:bidi="ar-SA"/>
              </w:rPr>
            </w:pPr>
            <w:r>
              <w:rPr>
                <w:rFonts w:hint="eastAsia" w:ascii="宋体" w:hAnsi="宋体" w:eastAsia="宋体" w:cs="宋体"/>
                <w:b/>
                <w:bCs/>
                <w:color w:val="auto"/>
                <w:sz w:val="18"/>
                <w:szCs w:val="18"/>
                <w:highlight w:val="none"/>
                <w:lang w:eastAsia="zh-CN" w:bidi="ar-SA"/>
              </w:rPr>
              <w:t>评分因素</w:t>
            </w:r>
          </w:p>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b/>
                <w:bCs/>
                <w:color w:val="auto"/>
                <w:sz w:val="18"/>
                <w:szCs w:val="18"/>
                <w:highlight w:val="none"/>
                <w:lang w:eastAsia="zh-CN" w:bidi="ar-SA"/>
              </w:rPr>
            </w:pPr>
            <w:r>
              <w:rPr>
                <w:rFonts w:hint="eastAsia" w:ascii="宋体" w:hAnsi="宋体" w:eastAsia="宋体" w:cs="宋体"/>
                <w:b/>
                <w:bCs/>
                <w:color w:val="auto"/>
                <w:sz w:val="18"/>
                <w:szCs w:val="18"/>
                <w:highlight w:val="none"/>
                <w:lang w:eastAsia="zh-CN" w:bidi="ar-SA"/>
              </w:rPr>
              <w:t>及权重</w:t>
            </w: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b/>
                <w:bCs/>
                <w:color w:val="auto"/>
                <w:sz w:val="18"/>
                <w:szCs w:val="18"/>
                <w:highlight w:val="none"/>
                <w:lang w:eastAsia="zh-CN" w:bidi="ar-SA"/>
              </w:rPr>
            </w:pPr>
            <w:r>
              <w:rPr>
                <w:rFonts w:hint="eastAsia" w:ascii="宋体" w:hAnsi="宋体" w:eastAsia="宋体" w:cs="宋体"/>
                <w:b/>
                <w:bCs/>
                <w:color w:val="auto"/>
                <w:sz w:val="18"/>
                <w:szCs w:val="18"/>
                <w:highlight w:val="none"/>
                <w:lang w:eastAsia="zh-CN" w:bidi="ar-SA"/>
              </w:rPr>
              <w:t>评分标准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b/>
                <w:bCs/>
                <w:color w:val="auto"/>
                <w:sz w:val="18"/>
                <w:szCs w:val="18"/>
                <w:highlight w:val="none"/>
                <w:lang w:eastAsia="zh-CN" w:bidi="ar-SA"/>
              </w:rPr>
            </w:pPr>
            <w:r>
              <w:rPr>
                <w:rFonts w:hint="eastAsia" w:ascii="宋体" w:hAnsi="宋体" w:eastAsia="宋体" w:cs="宋体"/>
                <w:b/>
                <w:bCs/>
                <w:color w:val="auto"/>
                <w:sz w:val="18"/>
                <w:szCs w:val="18"/>
                <w:highlight w:val="none"/>
                <w:lang w:eastAsia="zh-CN" w:bidi="ar-SA"/>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0" w:hRule="atLeast"/>
        </w:trPr>
        <w:tc>
          <w:tcPr>
            <w:tcW w:w="1369"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投标报价</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eastAsia="zh-CN" w:bidi="ar-SA"/>
              </w:rPr>
              <w:t>（</w:t>
            </w:r>
            <w:r>
              <w:rPr>
                <w:rFonts w:hint="eastAsia" w:ascii="宋体" w:hAnsi="宋体" w:eastAsia="宋体" w:cs="宋体"/>
                <w:color w:val="auto"/>
                <w:sz w:val="18"/>
                <w:szCs w:val="18"/>
                <w:highlight w:val="none"/>
                <w:lang w:val="en-US" w:eastAsia="zh-CN" w:bidi="ar-SA"/>
              </w:rPr>
              <w:t>30</w:t>
            </w:r>
            <w:r>
              <w:rPr>
                <w:rFonts w:hint="eastAsia" w:ascii="宋体" w:hAnsi="宋体" w:eastAsia="宋体" w:cs="宋体"/>
                <w:color w:val="auto"/>
                <w:sz w:val="18"/>
                <w:szCs w:val="18"/>
                <w:highlight w:val="none"/>
                <w:lang w:eastAsia="zh-CN" w:bidi="ar-SA"/>
              </w:rPr>
              <w:t>分）</w:t>
            </w: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各供应商的价格得分的计算公式：采用低价优先法计算，即满足招标文件要求且投标价格最低的投标报价为评标基准价，其价格分为满分。其他投标人的价格分统一按照下列公式计算：</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投标报价得分=(评标基准价／投标报价)×价格权值×100。计算分数时四舍五入取小数点后两位,分数最高不超过30分。</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评标过程中，不得去掉报价中的最低和最高报价。因落实政府采购政策进行价格调整的，以调整后的价格计算评标基准价和投标报价。</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1369"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 xml:space="preserve">技术因素 </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w:t>
            </w:r>
            <w:r>
              <w:rPr>
                <w:rFonts w:hint="eastAsia" w:ascii="宋体" w:hAnsi="宋体" w:eastAsia="宋体" w:cs="宋体"/>
                <w:color w:val="auto"/>
                <w:sz w:val="18"/>
                <w:szCs w:val="18"/>
                <w:highlight w:val="none"/>
                <w:lang w:val="en-US" w:eastAsia="zh-CN" w:bidi="ar-SA"/>
              </w:rPr>
              <w:t>40</w:t>
            </w:r>
            <w:r>
              <w:rPr>
                <w:rFonts w:hint="eastAsia" w:ascii="宋体" w:hAnsi="宋体" w:eastAsia="宋体" w:cs="宋体"/>
                <w:color w:val="auto"/>
                <w:sz w:val="18"/>
                <w:szCs w:val="18"/>
                <w:highlight w:val="none"/>
                <w:lang w:eastAsia="zh-CN" w:bidi="ar-SA"/>
              </w:rPr>
              <w:t>分）</w:t>
            </w: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1.技术指标、参数完全符合招标文件技术指标、参数要求的得35分；</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2.投标人技术指标参数中</w:t>
            </w:r>
            <w:r>
              <w:rPr>
                <w:rFonts w:hint="eastAsia" w:ascii="仿宋" w:hAnsi="仿宋" w:eastAsia="仿宋" w:cs="仿宋"/>
                <w:color w:val="auto"/>
                <w:sz w:val="18"/>
                <w:szCs w:val="18"/>
                <w:highlight w:val="none"/>
                <w:vertAlign w:val="baseline"/>
                <w:lang w:eastAsia="zh-CN"/>
              </w:rPr>
              <w:t>★</w:t>
            </w:r>
            <w:r>
              <w:rPr>
                <w:rFonts w:hint="eastAsia" w:ascii="宋体" w:hAnsi="宋体" w:eastAsia="宋体" w:cs="宋体"/>
                <w:color w:val="auto"/>
                <w:sz w:val="18"/>
                <w:szCs w:val="18"/>
                <w:highlight w:val="none"/>
                <w:lang w:val="en-US" w:eastAsia="zh-CN" w:bidi="ar-SA"/>
              </w:rPr>
              <w:t>号参数每低于技术规格中任一条性能要求的扣3分，非</w:t>
            </w:r>
            <w:r>
              <w:rPr>
                <w:rFonts w:hint="eastAsia" w:ascii="仿宋" w:hAnsi="仿宋" w:eastAsia="仿宋" w:cs="仿宋"/>
                <w:color w:val="auto"/>
                <w:sz w:val="18"/>
                <w:szCs w:val="18"/>
                <w:highlight w:val="none"/>
                <w:vertAlign w:val="baseline"/>
                <w:lang w:eastAsia="zh-CN"/>
              </w:rPr>
              <w:t>★</w:t>
            </w:r>
            <w:r>
              <w:rPr>
                <w:rFonts w:hint="eastAsia" w:ascii="宋体" w:hAnsi="宋体" w:eastAsia="宋体" w:cs="宋体"/>
                <w:color w:val="auto"/>
                <w:sz w:val="18"/>
                <w:szCs w:val="18"/>
                <w:highlight w:val="none"/>
                <w:lang w:val="en-US" w:eastAsia="zh-CN" w:bidi="ar-SA"/>
              </w:rPr>
              <w:t>号参数每低于技术规格中任一条性能要求的扣1分，扣完为止；</w:t>
            </w:r>
          </w:p>
          <w:p>
            <w:pPr>
              <w:keepNext w:val="0"/>
              <w:keepLines w:val="0"/>
              <w:pageBreakBefore w:val="0"/>
              <w:kinsoku/>
              <w:wordWrap/>
              <w:overflowPunct/>
              <w:topLinePunct w:val="0"/>
              <w:autoSpaceDE/>
              <w:autoSpaceDN/>
              <w:bidi w:val="0"/>
              <w:adjustRightInd/>
              <w:snapToGrid/>
              <w:spacing w:line="288" w:lineRule="auto"/>
              <w:outlineLvl w:val="9"/>
              <w:rPr>
                <w:rFonts w:hint="default"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3.投标人技术指标参数中有正偏离的，每条加1分，最多加5分（需提供检验报告或说明书予以佐证）</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default"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0" w:hRule="atLeast"/>
        </w:trPr>
        <w:tc>
          <w:tcPr>
            <w:tcW w:w="1369" w:type="dxa"/>
            <w:vMerge w:val="restart"/>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商务因素</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w:t>
            </w:r>
            <w:r>
              <w:rPr>
                <w:rFonts w:hint="eastAsia" w:ascii="宋体" w:hAnsi="宋体" w:eastAsia="宋体" w:cs="宋体"/>
                <w:color w:val="auto"/>
                <w:sz w:val="18"/>
                <w:szCs w:val="18"/>
                <w:highlight w:val="none"/>
                <w:lang w:val="en-US" w:eastAsia="zh-CN" w:bidi="ar-SA"/>
              </w:rPr>
              <w:t>30</w:t>
            </w:r>
            <w:r>
              <w:rPr>
                <w:rFonts w:hint="eastAsia" w:ascii="宋体" w:hAnsi="宋体" w:eastAsia="宋体" w:cs="宋体"/>
                <w:color w:val="auto"/>
                <w:sz w:val="18"/>
                <w:szCs w:val="18"/>
                <w:highlight w:val="none"/>
                <w:lang w:eastAsia="zh-CN" w:bidi="ar-SA"/>
              </w:rPr>
              <w:t>分）</w:t>
            </w: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进度保障措施（1）评标委员会根据投标文件对项目实施方案的完整性、技术方案说明情况等符合规定和实际等方面情况进行评议并打分；可行得3-4分，一般得1-2分，差得0分；（满分4分）（2）根据本项目具体特点及实际需求、货物质量、各个阶段进度、紧急保障措施及善后处理方案等方面情况进行评议并打分；可行得2分，一般得1分，差得0分；（满分2分）（3）根据本项目实际情况，对运输方案、货物调配、货物交接、清单安排等方面情况进行评议并打分；可行得4分，一般得2分，差得0分；（满分4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default"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369" w:type="dxa"/>
            <w:vMerge w:val="continue"/>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质量保障措施详尽、完备、可行；售后服务承诺全面、实施周期科学、售后服务方案合理的，需配备售后服务工程师，需提供证明材料或承诺书（含人员资质及信息等），以上内容完整、优秀的得4-6分，一般的得1-3分，未提供得0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1369" w:type="dxa"/>
            <w:vMerge w:val="continue"/>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每提供1份有效类似销售业绩得1分，满分5分。以厂家提供的近三年同类产品销售业绩证明资料如合同或中标通知书为准（需加盖单位电子印章），证明材料中需明确显示设备名称、规格型号等，未提供证明资料或无法辨识的，视为无效业绩不计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default"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369" w:type="dxa"/>
            <w:vMerge w:val="continue"/>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p>
        </w:tc>
        <w:tc>
          <w:tcPr>
            <w:tcW w:w="6376" w:type="dxa"/>
            <w:noWrap w:val="0"/>
            <w:vAlign w:val="center"/>
          </w:tcPr>
          <w:p>
            <w:pPr>
              <w:keepNext w:val="0"/>
              <w:keepLines w:val="0"/>
              <w:pageBreakBefore w:val="0"/>
              <w:shd w:val="clear" w:color="auto" w:fill="auto"/>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在交货期满足招标文件要求的基础上，每提前1天加0.5分，最高得3分。</w:t>
            </w:r>
          </w:p>
          <w:p>
            <w:pPr>
              <w:keepNext w:val="0"/>
              <w:keepLines w:val="0"/>
              <w:pageBreakBefore w:val="0"/>
              <w:shd w:val="clear" w:color="auto" w:fill="auto"/>
              <w:kinsoku/>
              <w:wordWrap/>
              <w:overflowPunct/>
              <w:topLinePunct w:val="0"/>
              <w:autoSpaceDE/>
              <w:autoSpaceDN/>
              <w:bidi w:val="0"/>
              <w:adjustRightInd/>
              <w:snapToGrid/>
              <w:spacing w:line="288" w:lineRule="auto"/>
              <w:outlineLvl w:val="9"/>
              <w:rPr>
                <w:rFonts w:hint="eastAsia"/>
                <w:sz w:val="18"/>
                <w:szCs w:val="18"/>
                <w:highlight w:val="none"/>
                <w:lang w:val="en-US" w:eastAsia="zh-CN"/>
              </w:rPr>
            </w:pPr>
            <w:r>
              <w:rPr>
                <w:rFonts w:hint="eastAsia" w:ascii="宋体" w:hAnsi="宋体" w:eastAsia="宋体" w:cs="宋体"/>
                <w:color w:val="auto"/>
                <w:sz w:val="18"/>
                <w:szCs w:val="18"/>
                <w:highlight w:val="none"/>
                <w:lang w:val="en-US" w:eastAsia="zh-CN" w:bidi="ar-SA"/>
              </w:rPr>
              <w:t>质保期内，中标人包修包换不得收取任何费用。每增加一年质保期得1分，最多得3分。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default"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trPr>
        <w:tc>
          <w:tcPr>
            <w:tcW w:w="1369" w:type="dxa"/>
            <w:vMerge w:val="continue"/>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eastAsia="zh-CN" w:bidi="ar-SA"/>
              </w:rPr>
              <w:t>投标文件页码连续、目录清晰准确、评审内容便于查找，编制内容完整、齐全、叙述严谨；标书无错页、漏页现象；由评委横向对比打分，优的得</w:t>
            </w:r>
            <w:r>
              <w:rPr>
                <w:rFonts w:hint="eastAsia" w:ascii="宋体" w:hAnsi="宋体" w:eastAsia="宋体" w:cs="宋体"/>
                <w:color w:val="auto"/>
                <w:sz w:val="18"/>
                <w:szCs w:val="18"/>
                <w:highlight w:val="none"/>
                <w:lang w:val="en-US" w:eastAsia="zh-CN" w:bidi="ar-SA"/>
              </w:rPr>
              <w:t>3</w:t>
            </w:r>
            <w:r>
              <w:rPr>
                <w:rFonts w:hint="eastAsia" w:ascii="宋体" w:hAnsi="宋体" w:eastAsia="宋体" w:cs="宋体"/>
                <w:color w:val="auto"/>
                <w:sz w:val="18"/>
                <w:szCs w:val="18"/>
                <w:highlight w:val="none"/>
                <w:lang w:eastAsia="zh-CN" w:bidi="ar-SA"/>
              </w:rPr>
              <w:t>分，良的得</w:t>
            </w:r>
            <w:r>
              <w:rPr>
                <w:rFonts w:hint="eastAsia" w:ascii="宋体" w:hAnsi="宋体" w:eastAsia="宋体" w:cs="宋体"/>
                <w:color w:val="auto"/>
                <w:sz w:val="18"/>
                <w:szCs w:val="18"/>
                <w:highlight w:val="none"/>
                <w:lang w:val="en-US" w:eastAsia="zh-CN" w:bidi="ar-SA"/>
              </w:rPr>
              <w:t>2</w:t>
            </w:r>
            <w:r>
              <w:rPr>
                <w:rFonts w:hint="eastAsia" w:ascii="宋体" w:hAnsi="宋体" w:eastAsia="宋体" w:cs="宋体"/>
                <w:color w:val="auto"/>
                <w:sz w:val="18"/>
                <w:szCs w:val="18"/>
                <w:highlight w:val="none"/>
                <w:lang w:eastAsia="zh-CN" w:bidi="ar-SA"/>
              </w:rPr>
              <w:t>分，一般的得</w:t>
            </w:r>
            <w:r>
              <w:rPr>
                <w:rFonts w:hint="eastAsia" w:ascii="宋体" w:hAnsi="宋体" w:eastAsia="宋体" w:cs="宋体"/>
                <w:color w:val="auto"/>
                <w:sz w:val="18"/>
                <w:szCs w:val="18"/>
                <w:highlight w:val="none"/>
                <w:lang w:val="en-US" w:eastAsia="zh-CN" w:bidi="ar-SA"/>
              </w:rPr>
              <w:t>1</w:t>
            </w:r>
            <w:r>
              <w:rPr>
                <w:rFonts w:hint="eastAsia" w:ascii="宋体" w:hAnsi="宋体" w:eastAsia="宋体" w:cs="宋体"/>
                <w:color w:val="auto"/>
                <w:sz w:val="18"/>
                <w:szCs w:val="18"/>
                <w:highlight w:val="none"/>
                <w:lang w:eastAsia="zh-CN" w:bidi="ar-SA"/>
              </w:rPr>
              <w:t>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3</w:t>
            </w:r>
          </w:p>
        </w:tc>
      </w:tr>
    </w:tbl>
    <w:p>
      <w:pPr>
        <w:spacing w:line="360" w:lineRule="auto"/>
        <w:jc w:val="left"/>
        <w:rPr>
          <w:rFonts w:hint="default" w:eastAsia="宋体"/>
          <w:highlight w:val="none"/>
          <w:lang w:val="en-US" w:eastAsia="zh-CN"/>
        </w:rPr>
      </w:pPr>
    </w:p>
    <w:p>
      <w:pPr>
        <w:pStyle w:val="31"/>
        <w:jc w:val="center"/>
        <w:outlineLvl w:val="9"/>
        <w:rPr>
          <w:rFonts w:hint="eastAsia" w:eastAsia="仿宋"/>
          <w:b/>
          <w:bCs/>
          <w:highlight w:val="none"/>
          <w:lang w:val="en-US" w:eastAsia="zh-CN"/>
        </w:rPr>
      </w:pPr>
    </w:p>
    <w:p>
      <w:pPr>
        <w:pStyle w:val="43"/>
        <w:shd w:val="clear" w:color="auto" w:fill="auto"/>
        <w:tabs>
          <w:tab w:val="left" w:pos="1701"/>
        </w:tabs>
        <w:spacing w:line="440" w:lineRule="exact"/>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10.2.2</w:t>
      </w:r>
      <w:r>
        <w:rPr>
          <w:rFonts w:hint="eastAsia" w:ascii="仿宋" w:hAnsi="仿宋" w:eastAsia="仿宋" w:cs="仿宋"/>
          <w:color w:val="auto"/>
          <w:szCs w:val="21"/>
          <w:highlight w:val="none"/>
          <w:lang w:bidi="ar-SA"/>
        </w:rPr>
        <w:t>价格评分方法</w:t>
      </w:r>
    </w:p>
    <w:p>
      <w:pPr>
        <w:shd w:val="clear" w:color="auto" w:fill="auto"/>
        <w:spacing w:line="440" w:lineRule="exact"/>
        <w:ind w:firstLine="480" w:firstLineChars="200"/>
        <w:jc w:val="left"/>
        <w:outlineLvl w:val="9"/>
        <w:rPr>
          <w:rFonts w:hint="eastAsia" w:ascii="仿宋" w:hAnsi="仿宋" w:eastAsia="仿宋" w:cs="仿宋"/>
          <w:color w:val="auto"/>
          <w:szCs w:val="21"/>
          <w:highlight w:val="none"/>
          <w:lang w:eastAsia="zh-CN" w:bidi="ar-SA"/>
        </w:rPr>
      </w:pPr>
      <w:r>
        <w:rPr>
          <w:rFonts w:hint="eastAsia" w:ascii="仿宋" w:hAnsi="仿宋" w:eastAsia="仿宋" w:cs="仿宋"/>
          <w:color w:val="auto"/>
          <w:szCs w:val="21"/>
          <w:highlight w:val="none"/>
          <w:lang w:bidi="ar-SA"/>
        </w:rPr>
        <w:t>满足招标文件技术要求且投标价格最低的投标报价为评标基准价，其价格分为满分。其他投标人的价格分别按照下列公式计算： 投标报价得分=（评标基准价/投标报价）×价格权重</w:t>
      </w:r>
      <w:r>
        <w:rPr>
          <w:rFonts w:hint="eastAsia" w:ascii="仿宋" w:hAnsi="仿宋" w:eastAsia="仿宋" w:cs="仿宋"/>
          <w:color w:val="auto"/>
          <w:szCs w:val="21"/>
          <w:highlight w:val="none"/>
          <w:lang w:eastAsia="zh-CN" w:bidi="ar-SA"/>
        </w:rPr>
        <w:t>。</w:t>
      </w:r>
    </w:p>
    <w:p>
      <w:pPr>
        <w:shd w:val="clear" w:color="auto" w:fill="auto"/>
        <w:spacing w:before="156" w:beforeLines="50" w:line="400" w:lineRule="exact"/>
        <w:jc w:val="center"/>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  推荐中标候选人</w:t>
      </w:r>
      <w:bookmarkEnd w:id="51"/>
      <w:bookmarkEnd w:id="52"/>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11.1</w:t>
      </w:r>
      <w:r>
        <w:rPr>
          <w:rFonts w:hint="eastAsia" w:ascii="仿宋" w:hAnsi="仿宋" w:eastAsia="仿宋" w:cs="仿宋"/>
          <w:color w:val="auto"/>
          <w:szCs w:val="21"/>
          <w:highlight w:val="none"/>
        </w:rPr>
        <w:t>评标委员会推荐</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名中标候选人，并标明排序。</w:t>
      </w:r>
    </w:p>
    <w:p>
      <w:pPr>
        <w:shd w:val="clear" w:color="auto" w:fill="auto"/>
        <w:spacing w:line="400" w:lineRule="exact"/>
        <w:ind w:firstLine="470" w:firstLineChars="196"/>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11.2</w:t>
      </w:r>
      <w:r>
        <w:rPr>
          <w:rFonts w:hint="eastAsia" w:ascii="仿宋" w:hAnsi="仿宋" w:eastAsia="仿宋" w:cs="仿宋"/>
          <w:color w:val="auto"/>
          <w:szCs w:val="21"/>
          <w:highlight w:val="none"/>
        </w:rPr>
        <w:t>如出现报价相同情况，则由招标人现场抽签确定中标候选人排名顺序。</w:t>
      </w:r>
    </w:p>
    <w:bookmarkEnd w:id="46"/>
    <w:p>
      <w:pPr>
        <w:shd w:val="clear" w:color="auto" w:fill="auto"/>
        <w:snapToGrid w:val="0"/>
        <w:spacing w:line="40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12.</w:t>
      </w:r>
      <w:r>
        <w:rPr>
          <w:rFonts w:hint="eastAsia" w:ascii="仿宋" w:hAnsi="仿宋" w:eastAsia="仿宋" w:cs="仿宋"/>
          <w:b/>
          <w:color w:val="auto"/>
          <w:szCs w:val="21"/>
          <w:highlight w:val="none"/>
        </w:rPr>
        <w:t>无效投标条款</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.1投标文件有下列情形之一的,其投标文件拒收:</w:t>
      </w:r>
    </w:p>
    <w:p>
      <w:pPr>
        <w:shd w:val="clear" w:color="auto" w:fill="auto"/>
        <w:snapToGrid w:val="0"/>
        <w:spacing w:line="400" w:lineRule="exact"/>
        <w:outlineLvl w:val="9"/>
        <w:rPr>
          <w:rFonts w:hint="eastAsia" w:ascii="仿宋" w:hAnsi="仿宋" w:eastAsia="仿宋" w:cs="仿宋"/>
          <w:b/>
          <w:bCs/>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b/>
          <w:bCs/>
          <w:color w:val="auto"/>
          <w:szCs w:val="21"/>
          <w:highlight w:val="none"/>
        </w:rPr>
        <w:t xml:space="preserve"> (1) 未在开标截止时间前通过网上招标投标系统递交有效电子投标文件的，开标系统不予接收。</w:t>
      </w:r>
    </w:p>
    <w:p>
      <w:pPr>
        <w:shd w:val="clear" w:color="auto" w:fill="auto"/>
        <w:snapToGrid w:val="0"/>
        <w:spacing w:line="400" w:lineRule="exact"/>
        <w:ind w:firstLine="480" w:firstLineChars="200"/>
        <w:outlineLvl w:val="9"/>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（2）</w:t>
      </w:r>
      <w:r>
        <w:rPr>
          <w:rFonts w:hint="eastAsia" w:ascii="仿宋" w:hAnsi="仿宋" w:eastAsia="仿宋" w:cs="仿宋"/>
          <w:b/>
          <w:color w:val="auto"/>
          <w:szCs w:val="21"/>
          <w:highlight w:val="none"/>
        </w:rPr>
        <w:t>所有投标人应在规定时间里完成投标文件的解密工作</w:t>
      </w:r>
      <w:r>
        <w:rPr>
          <w:rFonts w:hint="eastAsia" w:ascii="仿宋" w:hAnsi="仿宋" w:eastAsia="仿宋" w:cs="仿宋"/>
          <w:b/>
          <w:bCs/>
          <w:color w:val="auto"/>
          <w:szCs w:val="21"/>
          <w:highlight w:val="none"/>
        </w:rPr>
        <w:t>【投标人</w:t>
      </w:r>
      <w:r>
        <w:rPr>
          <w:rFonts w:hint="eastAsia" w:ascii="仿宋" w:hAnsi="仿宋" w:eastAsia="仿宋" w:cs="仿宋"/>
          <w:b/>
          <w:bCs/>
          <w:color w:val="auto"/>
          <w:szCs w:val="21"/>
          <w:highlight w:val="none"/>
          <w:lang w:eastAsia="zh-CN"/>
        </w:rPr>
        <w:t>使用</w:t>
      </w:r>
      <w:r>
        <w:rPr>
          <w:rFonts w:hint="eastAsia" w:ascii="仿宋" w:hAnsi="仿宋" w:eastAsia="仿宋" w:cs="仿宋"/>
          <w:b/>
          <w:bCs/>
          <w:color w:val="auto"/>
          <w:szCs w:val="21"/>
          <w:highlight w:val="none"/>
        </w:rPr>
        <w:t>其有效加密锁（CA锁）</w:t>
      </w:r>
      <w:r>
        <w:rPr>
          <w:rFonts w:hint="eastAsia" w:ascii="仿宋" w:hAnsi="仿宋" w:eastAsia="仿宋" w:cs="仿宋"/>
          <w:b/>
          <w:bCs/>
          <w:color w:val="auto"/>
          <w:szCs w:val="21"/>
          <w:highlight w:val="none"/>
          <w:lang w:eastAsia="zh-CN"/>
        </w:rPr>
        <w:t>进行</w:t>
      </w:r>
      <w:r>
        <w:rPr>
          <w:rFonts w:hint="eastAsia" w:ascii="仿宋" w:hAnsi="仿宋" w:eastAsia="仿宋" w:cs="仿宋"/>
          <w:b/>
          <w:bCs/>
          <w:color w:val="auto"/>
          <w:szCs w:val="21"/>
          <w:highlight w:val="none"/>
        </w:rPr>
        <w:t>解密（因投标人原因未能提供有效CA锁对其投标文件进行解密的，其投标文件按无效标处理），以网上招投标系统解密倒计时为准】</w:t>
      </w:r>
      <w:r>
        <w:rPr>
          <w:rFonts w:hint="eastAsia" w:ascii="仿宋" w:hAnsi="仿宋" w:eastAsia="仿宋" w:cs="仿宋"/>
          <w:b/>
          <w:color w:val="auto"/>
          <w:szCs w:val="21"/>
          <w:highlight w:val="none"/>
        </w:rPr>
        <w:t>，因系统原因未能成功解密的投标文件，可导入</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也无法导入的，则投标文件被否决。</w:t>
      </w:r>
    </w:p>
    <w:p>
      <w:pPr>
        <w:shd w:val="clear" w:color="auto" w:fill="auto"/>
        <w:snapToGrid w:val="0"/>
        <w:spacing w:line="40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.2投标人有下列情形之一的,资格审查后其投标作无效投标处理：</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(1)法定代表人参加开标会议未携带有效的法定代表人身份证明原件和本人身份证的；委托代理人参加开标会议未携带有效的法定代表人授权书和本人身份证；</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(2)投标人为本项目提供招标代理服务的；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(3)投标人与在本项目代理机构存在相互任职或工作的；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(4)投标保证金未按规定要求缴纳的；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(5</w:t>
      </w:r>
      <w:r>
        <w:rPr>
          <w:rFonts w:hint="eastAsia" w:ascii="仿宋" w:hAnsi="仿宋" w:eastAsia="仿宋" w:cs="仿宋"/>
          <w:b w:val="0"/>
          <w:bCs w:val="0"/>
          <w:color w:val="auto"/>
          <w:szCs w:val="21"/>
          <w:highlight w:val="none"/>
        </w:rPr>
        <w:t>)评标专家无法查看并检验电子标书中相关资料的；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(6)投标人超出营业范围投标的；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(7)联合体投标未提交联合体协议的；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(8)被暂停营业的；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(9)被暂停或取消投标资格的；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(10)财产被接管或冻结的；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(11)投标人单位负责人为同一人或者存在控股、管理关系的不同单位的；</w:t>
      </w:r>
    </w:p>
    <w:p>
      <w:pPr>
        <w:shd w:val="clear" w:color="auto" w:fill="auto"/>
        <w:snapToGrid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（12）投标人基本资格条件和特定资格条件中有一项及以上不符合要求的；</w:t>
      </w:r>
    </w:p>
    <w:p>
      <w:pPr>
        <w:shd w:val="clear" w:color="auto" w:fill="auto"/>
        <w:snapToGrid w:val="0"/>
        <w:spacing w:line="400" w:lineRule="exact"/>
        <w:ind w:firstLine="360" w:firstLineChars="150"/>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（13）投标人使用相同的MAC地址进行报名的</w:t>
      </w:r>
      <w:r>
        <w:rPr>
          <w:rFonts w:hint="eastAsia" w:ascii="仿宋" w:hAnsi="仿宋" w:eastAsia="仿宋" w:cs="仿宋"/>
          <w:color w:val="auto"/>
          <w:szCs w:val="21"/>
          <w:highlight w:val="none"/>
          <w:lang w:eastAsia="zh-CN"/>
        </w:rPr>
        <w:t>；</w:t>
      </w:r>
    </w:p>
    <w:p>
      <w:pPr>
        <w:shd w:val="clear" w:color="auto" w:fill="auto"/>
        <w:snapToGrid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（14）其它情形，经评标委员会委提出按无效投标处理，并经公共资源交易监督部门核准的；</w:t>
      </w:r>
    </w:p>
    <w:p>
      <w:pPr>
        <w:shd w:val="clear" w:color="auto" w:fill="auto"/>
        <w:snapToGrid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（15）投标人使用相同IP地址报名的，一经发现，监管部门将进一步核实，查实后按串通投标处理；</w:t>
      </w:r>
    </w:p>
    <w:p>
      <w:pPr>
        <w:shd w:val="clear" w:color="auto" w:fill="auto"/>
        <w:snapToGrid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（16）</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pPr>
        <w:shd w:val="clear" w:color="auto" w:fill="auto"/>
        <w:snapToGrid w:val="0"/>
        <w:spacing w:line="40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.3 投标人有下列情形之一的,符合性审查后其投标按无效投标处理：</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 投标文件</w:t>
      </w:r>
      <w:r>
        <w:rPr>
          <w:rFonts w:hint="eastAsia" w:ascii="仿宋" w:hAnsi="仿宋" w:eastAsia="仿宋" w:cs="仿宋"/>
          <w:color w:val="auto"/>
          <w:szCs w:val="21"/>
          <w:highlight w:val="none"/>
          <w:lang w:eastAsia="zh-CN"/>
        </w:rPr>
        <w:t>签章</w:t>
      </w:r>
      <w:r>
        <w:rPr>
          <w:rFonts w:hint="eastAsia" w:ascii="仿宋" w:hAnsi="仿宋" w:eastAsia="仿宋" w:cs="仿宋"/>
          <w:color w:val="auto"/>
          <w:szCs w:val="21"/>
          <w:highlight w:val="none"/>
        </w:rPr>
        <w:t>、盖章不全，经评标委员会一致认定对开评标内容有实质性影响并经监督部门核准的；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)未按规定的格式填写，实质性内容不全或关键字迹模糊、无法辨认; 经监督部门核准的；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(4)同一投标人提交两个以上不同的投标文件或者投标报价，但</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规定提交备选方案的除外；</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)投标文件没有对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的实质性要求和条件作出响应;</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)投标报价超出规定的投标限价或公布的采购预算的；注：投标人的投标报价各项单价均不得高于招标文件给定的单价最高限价，否则，其投标文件将按无效投标处理。</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)不按评标委员会要求澄清、说明或补正的，或者评标委员会根据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的规定对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的计算错误进行修正后，投标人不接受修正的投标报价的。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）其它情形，经评标委员会委提出按无效投标处理，并经公共资源交易监督部门核准的；</w:t>
      </w:r>
    </w:p>
    <w:p>
      <w:pPr>
        <w:widowControl/>
        <w:shd w:val="clear" w:color="auto" w:fill="auto"/>
        <w:spacing w:line="500" w:lineRule="exact"/>
        <w:ind w:firstLine="480" w:firstLineChars="200"/>
        <w:jc w:val="lef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未按照招标文件的规定提交投标保证金的；</w:t>
      </w:r>
    </w:p>
    <w:p>
      <w:pPr>
        <w:widowControl/>
        <w:shd w:val="clear" w:color="auto" w:fill="auto"/>
        <w:spacing w:line="500" w:lineRule="exact"/>
        <w:ind w:firstLine="480" w:firstLineChars="200"/>
        <w:jc w:val="lef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投标文件含有采购人不能接受的附加条件的;</w:t>
      </w:r>
    </w:p>
    <w:p>
      <w:pPr>
        <w:shd w:val="clear" w:color="auto" w:fill="auto"/>
        <w:tabs>
          <w:tab w:val="left" w:pos="1123"/>
        </w:tabs>
        <w:snapToGrid w:val="0"/>
        <w:spacing w:line="5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.4 投标人有下列情形之一的, 详细评审后其投标按无效投标处理：</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(1)投标产品不符合必须强制执行的国家标准的；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(2)投标人有串通投标、弄虚作假、行贿等违法行为；</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(3)投标文件含有违反国家法律、法规的内容，或附有招标人不能接受的条件的；</w:t>
      </w:r>
    </w:p>
    <w:p>
      <w:pPr>
        <w:shd w:val="clear" w:color="auto" w:fill="auto"/>
        <w:spacing w:line="360" w:lineRule="auto"/>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（4）在同一项目（或同一标段）中有多个投标人有效投标报价接近最高限价，且评标委员会认为报价出现异常的，可以宣布其投标无效；</w:t>
      </w:r>
    </w:p>
    <w:p>
      <w:pPr>
        <w:shd w:val="clear" w:color="auto" w:fill="auto"/>
        <w:spacing w:line="360" w:lineRule="auto"/>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（5）报价明显低于其他投标人，且不能证明报价合理性的投标无效；</w:t>
      </w:r>
    </w:p>
    <w:p>
      <w:pPr>
        <w:shd w:val="clear" w:color="auto" w:fill="auto"/>
        <w:spacing w:line="360" w:lineRule="auto"/>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（6）拒不确认评标委员会评审修正的投标无效；</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（7）其它情形，经评标委员会委提出按无效投标处理，并经公共资源交易监督部门核准的；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（8）</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pPr>
        <w:pageBreakBefore/>
        <w:shd w:val="clear" w:color="auto" w:fill="auto"/>
        <w:spacing w:line="360" w:lineRule="auto"/>
        <w:jc w:val="center"/>
        <w:outlineLvl w:val="9"/>
        <w:rPr>
          <w:rFonts w:hint="eastAsia" w:ascii="仿宋" w:hAnsi="仿宋" w:eastAsia="仿宋" w:cs="仿宋"/>
          <w:b/>
          <w:color w:val="auto"/>
          <w:sz w:val="32"/>
          <w:szCs w:val="32"/>
          <w:highlight w:val="none"/>
        </w:rPr>
        <w:sectPr>
          <w:footerReference r:id="rId8" w:type="default"/>
          <w:pgSz w:w="11906" w:h="16838"/>
          <w:pgMar w:top="1440" w:right="1134" w:bottom="1440" w:left="1134" w:header="851" w:footer="992" w:gutter="0"/>
          <w:pgNumType w:fmt="decimal" w:start="1"/>
          <w:cols w:space="720" w:num="1"/>
          <w:docGrid w:type="linesAndChars" w:linePitch="312" w:charSpace="0"/>
        </w:sectPr>
      </w:pPr>
      <w:bookmarkStart w:id="54" w:name="_Toc469495737"/>
      <w:bookmarkStart w:id="55" w:name="OLE_LINK4"/>
    </w:p>
    <w:p>
      <w:pPr>
        <w:pageBreakBefore/>
        <w:numPr>
          <w:ilvl w:val="0"/>
          <w:numId w:val="7"/>
        </w:numPr>
        <w:shd w:val="clear" w:color="auto" w:fill="auto"/>
        <w:spacing w:line="360" w:lineRule="auto"/>
        <w:ind w:leftChars="0" w:right="0" w:rightChars="0"/>
        <w:jc w:val="center"/>
        <w:outlineLvl w:val="0"/>
        <w:rPr>
          <w:rFonts w:hint="eastAsia" w:ascii="仿宋" w:hAnsi="仿宋" w:eastAsia="仿宋" w:cs="仿宋"/>
          <w:b/>
          <w:color w:val="auto"/>
          <w:sz w:val="30"/>
          <w:szCs w:val="30"/>
          <w:highlight w:val="none"/>
        </w:rPr>
      </w:pPr>
      <w:bookmarkStart w:id="56" w:name="_Toc29986"/>
      <w:r>
        <w:rPr>
          <w:rFonts w:hint="eastAsia" w:ascii="仿宋" w:hAnsi="仿宋" w:eastAsia="仿宋" w:cs="仿宋"/>
          <w:b/>
          <w:color w:val="auto"/>
          <w:sz w:val="30"/>
          <w:szCs w:val="30"/>
          <w:highlight w:val="none"/>
        </w:rPr>
        <w:t xml:space="preserve"> </w:t>
      </w:r>
      <w:bookmarkEnd w:id="47"/>
      <w:bookmarkEnd w:id="54"/>
      <w:r>
        <w:rPr>
          <w:rFonts w:hint="eastAsia" w:ascii="仿宋" w:hAnsi="仿宋" w:eastAsia="仿宋" w:cs="仿宋"/>
          <w:b/>
          <w:color w:val="auto"/>
          <w:sz w:val="30"/>
          <w:szCs w:val="30"/>
          <w:highlight w:val="none"/>
        </w:rPr>
        <w:t>技术规格、数量及质量要求</w:t>
      </w:r>
      <w:bookmarkEnd w:id="56"/>
    </w:p>
    <w:p>
      <w:pPr>
        <w:shd w:val="clear" w:color="auto" w:fill="auto"/>
        <w:spacing w:line="360" w:lineRule="auto"/>
        <w:ind w:firstLine="367" w:firstLineChars="150"/>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阿图什市街道办事处社区卫生服务中心项目设备采购项目(</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包)采购清单及参数</w:t>
      </w:r>
    </w:p>
    <w:tbl>
      <w:tblPr>
        <w:tblStyle w:val="24"/>
        <w:tblW w:w="1343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6"/>
        <w:gridCol w:w="1627"/>
        <w:gridCol w:w="8333"/>
        <w:gridCol w:w="1218"/>
        <w:gridCol w:w="15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bookmarkStart w:id="57" w:name="_Toc267320052"/>
            <w:bookmarkStart w:id="58" w:name="_Toc340225294"/>
            <w:r>
              <w:rPr>
                <w:rFonts w:hint="eastAsia" w:ascii="仿宋" w:hAnsi="仿宋" w:eastAsia="仿宋" w:cs="仿宋"/>
                <w:i w:val="0"/>
                <w:iCs w:val="0"/>
                <w:color w:val="000000"/>
                <w:kern w:val="0"/>
                <w:sz w:val="21"/>
                <w:szCs w:val="21"/>
                <w:highlight w:val="none"/>
                <w:u w:val="none"/>
                <w:lang w:val="en-US" w:eastAsia="zh-CN" w:bidi="ar"/>
              </w:rPr>
              <w:t>序号</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名称</w:t>
            </w:r>
          </w:p>
        </w:tc>
        <w:tc>
          <w:tcPr>
            <w:tcW w:w="8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规格要求</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数量</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身份证识别道闸（人脸识别.测温）</w:t>
            </w:r>
          </w:p>
        </w:tc>
        <w:tc>
          <w:tcPr>
            <w:tcW w:w="8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1.产品尺寸：1200*200*980mm</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2.材料：周身采用SUS304拉丝不锈钢材，厚度为1.2mm材质；</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3.电源电压：220VAC±10%/15%，50HZ±4％；</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4.驱动电机： 直流电机　  DC24V；</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5.驱动方式：数字方式；</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6.工作环境：-25℃～+75℃；</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8.通行速度：最高25--60人/分钟；</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9.开关闸时间：0.4秒；</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10.通道宽度：550-1400MM；</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11.平均无故障次数：500万次；</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12.相对温度：5%--90%   无结露；</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13.防水防尘等级达到IP32以上；</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14.超高亮闪烁状方向指示。        </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15.工作电压：DC12V/2A</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16.记录容量：10万条</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17.人脸容量：20000人</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18.通讯方式：TCP/IP（可定制WIFI）</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19.卡类型：IC卡/CPU卡/身份证</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20.管理平台：FCARD3500T / BS软件平台</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21.机身材质：锌合金机身</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22.显示屏：10.1英寸IPS全视角高清屏（1980*720）</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23.CPU : 4核A7 1.2GHZ</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24.存储容量：内存1GB DDR3/存储8GB EMMC</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25.GPU : MAL400 II</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26.系统升级：U盘升级或在线升级</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27.运行系统：LINUX系统</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28.摄像头：宽动态双目400万高清摄像头</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29.活体检测：支持</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30.防水防尘：IP65</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31.识别模式：1:N/1:1人证核验</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32.识别速度：1秒</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33.韦根功能：韦根输入/韦根输出各1组（26/34）</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34.人脸识别准确率：99.9%（1%误识率下识25.别通过率99.77%；0.1%误识率下识别通过率99.27%）</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35.此产品为动态人脸识别产品，支持活测。</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36.识别距离0.3米-5米之间</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37.支持户外强光识别。</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38.支持免注册，人证核验功能。</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39.支持照片下发注册。</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40.支持二次开发，Websocket(BS架构)，socket(CS架构)</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41.可配套通道闸机的人脸识别出入管理</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42.本地端软件：FCARD3500T一卡通管理系统。</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43.对接国家住建平台软件：FCARD3500T一卡通管理系统</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3台</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rPr>
              <w:t>激光过包安检机</w:t>
            </w:r>
          </w:p>
        </w:tc>
        <w:tc>
          <w:tcPr>
            <w:tcW w:w="8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75" w:after="75" w:line="260" w:lineRule="exact"/>
              <w:jc w:val="left"/>
              <w:textAlignment w:val="auto"/>
              <w:rPr>
                <w:rFonts w:hint="eastAsia" w:ascii="仿宋" w:hAnsi="仿宋" w:eastAsia="仿宋" w:cs="仿宋"/>
                <w:color w:val="000000"/>
                <w:kern w:val="0"/>
                <w:sz w:val="21"/>
                <w:szCs w:val="21"/>
                <w:highlight w:val="none"/>
              </w:rPr>
            </w:pPr>
            <w:r>
              <w:rPr>
                <w:rFonts w:hint="eastAsia" w:ascii="仿宋" w:hAnsi="仿宋" w:eastAsia="仿宋" w:cs="仿宋"/>
                <w:color w:val="000000"/>
                <w:kern w:val="0"/>
                <w:sz w:val="21"/>
                <w:szCs w:val="21"/>
                <w:highlight w:val="none"/>
                <w:lang w:val="en-US" w:eastAsia="zh-CN"/>
              </w:rPr>
              <w:t>1.</w:t>
            </w:r>
            <w:r>
              <w:rPr>
                <w:rFonts w:hint="eastAsia" w:ascii="仿宋" w:hAnsi="仿宋" w:eastAsia="仿宋" w:cs="仿宋"/>
                <w:color w:val="000000"/>
                <w:kern w:val="0"/>
                <w:sz w:val="21"/>
                <w:szCs w:val="21"/>
                <w:highlight w:val="none"/>
              </w:rPr>
              <w:t>从信号接收到图像显示，全数字信号传输处理，抗干扰能力强、图像清晰.</w:t>
            </w:r>
          </w:p>
          <w:p>
            <w:pPr>
              <w:keepNext w:val="0"/>
              <w:keepLines w:val="0"/>
              <w:pageBreakBefore w:val="0"/>
              <w:widowControl/>
              <w:kinsoku/>
              <w:wordWrap/>
              <w:overflowPunct/>
              <w:topLinePunct w:val="0"/>
              <w:autoSpaceDE/>
              <w:autoSpaceDN/>
              <w:bidi w:val="0"/>
              <w:adjustRightInd/>
              <w:snapToGrid/>
              <w:spacing w:before="75" w:after="75" w:line="260" w:lineRule="exact"/>
              <w:jc w:val="left"/>
              <w:textAlignment w:val="auto"/>
              <w:rPr>
                <w:rFonts w:hint="eastAsia" w:ascii="仿宋" w:hAnsi="仿宋" w:eastAsia="仿宋" w:cs="仿宋"/>
                <w:color w:val="000000"/>
                <w:kern w:val="0"/>
                <w:sz w:val="21"/>
                <w:szCs w:val="21"/>
                <w:highlight w:val="none"/>
              </w:rPr>
            </w:pPr>
            <w:r>
              <w:rPr>
                <w:rFonts w:hint="eastAsia" w:ascii="仿宋" w:hAnsi="仿宋" w:eastAsia="仿宋" w:cs="仿宋"/>
                <w:color w:val="000000"/>
                <w:kern w:val="0"/>
                <w:sz w:val="21"/>
                <w:szCs w:val="21"/>
                <w:highlight w:val="none"/>
                <w:lang w:val="en-US" w:eastAsia="zh-CN"/>
              </w:rPr>
              <w:t>2.</w:t>
            </w:r>
            <w:r>
              <w:rPr>
                <w:rFonts w:hint="eastAsia" w:ascii="仿宋" w:hAnsi="仿宋" w:eastAsia="仿宋" w:cs="仿宋"/>
                <w:color w:val="000000"/>
                <w:kern w:val="0"/>
                <w:sz w:val="21"/>
                <w:szCs w:val="21"/>
                <w:highlight w:val="none"/>
              </w:rPr>
              <w:t>嵌入式Linux操作系统，采用多核ARM、架构简单、功耗极低、节能环保，并具有实时状态监控功能，随时掌握设备工作进程.</w:t>
            </w:r>
          </w:p>
          <w:p>
            <w:pPr>
              <w:keepNext w:val="0"/>
              <w:keepLines w:val="0"/>
              <w:pageBreakBefore w:val="0"/>
              <w:widowControl/>
              <w:kinsoku/>
              <w:wordWrap/>
              <w:overflowPunct/>
              <w:topLinePunct w:val="0"/>
              <w:autoSpaceDE/>
              <w:autoSpaceDN/>
              <w:bidi w:val="0"/>
              <w:adjustRightInd/>
              <w:snapToGrid/>
              <w:spacing w:before="75" w:after="75" w:line="260" w:lineRule="exact"/>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3.</w:t>
            </w:r>
            <w:r>
              <w:rPr>
                <w:rFonts w:hint="eastAsia" w:ascii="仿宋" w:hAnsi="仿宋" w:eastAsia="仿宋" w:cs="仿宋"/>
                <w:color w:val="000000"/>
                <w:kern w:val="0"/>
                <w:sz w:val="21"/>
                <w:szCs w:val="21"/>
                <w:highlight w:val="none"/>
              </w:rPr>
              <w:t>产品</w:t>
            </w:r>
            <w:r>
              <w:rPr>
                <w:rFonts w:hint="eastAsia" w:ascii="仿宋" w:hAnsi="仿宋" w:eastAsia="仿宋" w:cs="仿宋"/>
                <w:color w:val="auto"/>
                <w:kern w:val="0"/>
                <w:sz w:val="21"/>
                <w:szCs w:val="21"/>
                <w:highlight w:val="none"/>
              </w:rPr>
              <w:t>实际使用中的各项性能参数与公安部出具的检测报告完全一致，检测报告结果更真实可信.</w:t>
            </w:r>
          </w:p>
          <w:p>
            <w:pPr>
              <w:keepNext w:val="0"/>
              <w:keepLines w:val="0"/>
              <w:pageBreakBefore w:val="0"/>
              <w:widowControl/>
              <w:kinsoku/>
              <w:wordWrap/>
              <w:overflowPunct/>
              <w:topLinePunct w:val="0"/>
              <w:autoSpaceDE/>
              <w:autoSpaceDN/>
              <w:bidi w:val="0"/>
              <w:adjustRightInd/>
              <w:snapToGrid/>
              <w:spacing w:before="75" w:after="75" w:line="260" w:lineRule="exact"/>
              <w:jc w:val="left"/>
              <w:textAlignment w:val="auto"/>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rPr>
              <w:t>设备符合安全环境标准</w:t>
            </w:r>
            <w:r>
              <w:rPr>
                <w:rFonts w:hint="eastAsia" w:ascii="仿宋" w:hAnsi="仿宋" w:eastAsia="仿宋" w:cs="仿宋"/>
                <w:color w:val="auto"/>
                <w:kern w:val="0"/>
                <w:sz w:val="21"/>
                <w:szCs w:val="21"/>
                <w:highlight w:val="none"/>
                <w:lang w:eastAsia="zh-CN"/>
              </w:rPr>
              <w:t>。</w:t>
            </w:r>
          </w:p>
          <w:p>
            <w:pPr>
              <w:keepNext w:val="0"/>
              <w:keepLines w:val="0"/>
              <w:pageBreakBefore w:val="0"/>
              <w:widowControl/>
              <w:kinsoku/>
              <w:wordWrap/>
              <w:overflowPunct/>
              <w:topLinePunct w:val="0"/>
              <w:autoSpaceDE/>
              <w:autoSpaceDN/>
              <w:bidi w:val="0"/>
              <w:adjustRightInd/>
              <w:snapToGrid/>
              <w:spacing w:before="75" w:after="75" w:line="260" w:lineRule="exact"/>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5.</w:t>
            </w:r>
            <w:r>
              <w:rPr>
                <w:rFonts w:hint="eastAsia" w:ascii="仿宋" w:hAnsi="仿宋" w:eastAsia="仿宋" w:cs="仿宋"/>
                <w:color w:val="auto"/>
                <w:kern w:val="0"/>
                <w:sz w:val="21"/>
                <w:szCs w:val="21"/>
                <w:highlight w:val="none"/>
              </w:rPr>
              <w:t>产品生产过程严格按照ISO9001质量管理体系进行管控，通过严格的高低温试验、湿热试验和震动试验，确保产品无故障连续运行10000小时以上.</w:t>
            </w:r>
          </w:p>
          <w:p>
            <w:pPr>
              <w:keepNext w:val="0"/>
              <w:keepLines w:val="0"/>
              <w:pageBreakBefore w:val="0"/>
              <w:widowControl/>
              <w:kinsoku/>
              <w:wordWrap/>
              <w:overflowPunct/>
              <w:topLinePunct w:val="0"/>
              <w:autoSpaceDE/>
              <w:autoSpaceDN/>
              <w:bidi w:val="0"/>
              <w:adjustRightInd/>
              <w:snapToGrid/>
              <w:spacing w:before="75" w:after="75" w:line="260" w:lineRule="exact"/>
              <w:jc w:val="left"/>
              <w:textAlignment w:val="auto"/>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rPr>
              <w:t>24小时售后电话随时为客户提供技术支持</w:t>
            </w:r>
            <w:r>
              <w:rPr>
                <w:rFonts w:hint="eastAsia" w:ascii="仿宋" w:hAnsi="仿宋" w:eastAsia="仿宋" w:cs="仿宋"/>
                <w:color w:val="auto"/>
                <w:kern w:val="0"/>
                <w:sz w:val="21"/>
                <w:szCs w:val="21"/>
                <w:highlight w:val="none"/>
                <w:lang w:eastAsia="zh-CN"/>
              </w:rPr>
              <w:t>。</w:t>
            </w:r>
          </w:p>
          <w:p>
            <w:pPr>
              <w:keepNext w:val="0"/>
              <w:keepLines w:val="0"/>
              <w:pageBreakBefore w:val="0"/>
              <w:widowControl/>
              <w:kinsoku/>
              <w:wordWrap/>
              <w:overflowPunct/>
              <w:topLinePunct w:val="0"/>
              <w:autoSpaceDE/>
              <w:autoSpaceDN/>
              <w:bidi w:val="0"/>
              <w:adjustRightInd/>
              <w:snapToGrid/>
              <w:spacing w:before="75" w:after="75" w:line="260" w:lineRule="exact"/>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7.</w:t>
            </w:r>
            <w:r>
              <w:rPr>
                <w:rFonts w:hint="eastAsia" w:ascii="仿宋" w:hAnsi="仿宋" w:eastAsia="仿宋" w:cs="仿宋"/>
                <w:color w:val="auto"/>
                <w:kern w:val="0"/>
                <w:sz w:val="21"/>
                <w:szCs w:val="21"/>
                <w:highlight w:val="none"/>
              </w:rPr>
              <w:t xml:space="preserve">通道尺寸 </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500mm（宽）*300mm（高）</w:t>
            </w:r>
          </w:p>
          <w:p>
            <w:pPr>
              <w:keepNext w:val="0"/>
              <w:keepLines w:val="0"/>
              <w:pageBreakBefore w:val="0"/>
              <w:widowControl/>
              <w:kinsoku/>
              <w:wordWrap/>
              <w:overflowPunct/>
              <w:topLinePunct w:val="0"/>
              <w:autoSpaceDE/>
              <w:autoSpaceDN/>
              <w:bidi w:val="0"/>
              <w:adjustRightInd/>
              <w:snapToGrid/>
              <w:spacing w:before="75" w:after="75" w:line="260" w:lineRule="exact"/>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8.</w:t>
            </w:r>
            <w:r>
              <w:rPr>
                <w:rFonts w:hint="eastAsia" w:ascii="仿宋" w:hAnsi="仿宋" w:eastAsia="仿宋" w:cs="仿宋"/>
                <w:color w:val="auto"/>
                <w:kern w:val="0"/>
                <w:sz w:val="21"/>
                <w:szCs w:val="21"/>
                <w:highlight w:val="none"/>
              </w:rPr>
              <w:t>传送带速度 </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0.22m/s</w:t>
            </w:r>
          </w:p>
          <w:p>
            <w:pPr>
              <w:keepNext w:val="0"/>
              <w:keepLines w:val="0"/>
              <w:pageBreakBefore w:val="0"/>
              <w:widowControl/>
              <w:kinsoku/>
              <w:wordWrap/>
              <w:overflowPunct/>
              <w:topLinePunct w:val="0"/>
              <w:autoSpaceDE/>
              <w:autoSpaceDN/>
              <w:bidi w:val="0"/>
              <w:adjustRightInd/>
              <w:snapToGrid/>
              <w:spacing w:before="75" w:after="75" w:line="260" w:lineRule="exact"/>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9.</w:t>
            </w:r>
            <w:r>
              <w:rPr>
                <w:rFonts w:hint="eastAsia" w:ascii="仿宋" w:hAnsi="仿宋" w:eastAsia="仿宋" w:cs="仿宋"/>
                <w:color w:val="auto"/>
                <w:kern w:val="0"/>
                <w:sz w:val="21"/>
                <w:szCs w:val="21"/>
                <w:highlight w:val="none"/>
              </w:rPr>
              <w:t>最大负载能力</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150kg</w:t>
            </w:r>
          </w:p>
          <w:p>
            <w:pPr>
              <w:keepNext w:val="0"/>
              <w:keepLines w:val="0"/>
              <w:pageBreakBefore w:val="0"/>
              <w:widowControl/>
              <w:kinsoku/>
              <w:wordWrap/>
              <w:overflowPunct/>
              <w:topLinePunct w:val="0"/>
              <w:autoSpaceDE/>
              <w:autoSpaceDN/>
              <w:bidi w:val="0"/>
              <w:adjustRightInd/>
              <w:snapToGrid/>
              <w:spacing w:before="75" w:after="75" w:line="260" w:lineRule="exact"/>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10.</w:t>
            </w:r>
            <w:r>
              <w:rPr>
                <w:rFonts w:hint="eastAsia" w:ascii="仿宋" w:hAnsi="仿宋" w:eastAsia="仿宋" w:cs="仿宋"/>
                <w:color w:val="auto"/>
                <w:kern w:val="0"/>
                <w:sz w:val="21"/>
                <w:szCs w:val="21"/>
                <w:highlight w:val="none"/>
              </w:rPr>
              <w:t>穿透力</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大于11mm钢板</w:t>
            </w:r>
          </w:p>
          <w:p>
            <w:pPr>
              <w:keepNext w:val="0"/>
              <w:keepLines w:val="0"/>
              <w:pageBreakBefore w:val="0"/>
              <w:widowControl/>
              <w:kinsoku/>
              <w:wordWrap/>
              <w:overflowPunct/>
              <w:topLinePunct w:val="0"/>
              <w:autoSpaceDE/>
              <w:autoSpaceDN/>
              <w:bidi w:val="0"/>
              <w:adjustRightInd/>
              <w:snapToGrid/>
              <w:spacing w:before="75" w:after="75" w:line="260" w:lineRule="exact"/>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11.</w:t>
            </w:r>
            <w:r>
              <w:rPr>
                <w:rFonts w:hint="eastAsia" w:ascii="仿宋" w:hAnsi="仿宋" w:eastAsia="仿宋" w:cs="仿宋"/>
                <w:color w:val="auto"/>
                <w:kern w:val="0"/>
                <w:sz w:val="21"/>
                <w:szCs w:val="21"/>
                <w:highlight w:val="none"/>
              </w:rPr>
              <w:t>线分辨力</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 Φ0.0787mm金属丝</w:t>
            </w:r>
          </w:p>
          <w:p>
            <w:pPr>
              <w:keepNext w:val="0"/>
              <w:keepLines w:val="0"/>
              <w:pageBreakBefore w:val="0"/>
              <w:widowControl/>
              <w:kinsoku/>
              <w:wordWrap/>
              <w:overflowPunct/>
              <w:topLinePunct w:val="0"/>
              <w:autoSpaceDE/>
              <w:autoSpaceDN/>
              <w:bidi w:val="0"/>
              <w:adjustRightInd/>
              <w:snapToGrid/>
              <w:spacing w:before="75" w:after="75" w:line="260" w:lineRule="exact"/>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12.</w:t>
            </w:r>
            <w:r>
              <w:rPr>
                <w:rFonts w:hint="eastAsia" w:ascii="仿宋" w:hAnsi="仿宋" w:eastAsia="仿宋" w:cs="仿宋"/>
                <w:color w:val="auto"/>
                <w:kern w:val="0"/>
                <w:sz w:val="21"/>
                <w:szCs w:val="21"/>
                <w:highlight w:val="none"/>
              </w:rPr>
              <w:t>穿透分辨力</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Φ0.127mm金属丝</w:t>
            </w:r>
          </w:p>
          <w:p>
            <w:pPr>
              <w:keepNext w:val="0"/>
              <w:keepLines w:val="0"/>
              <w:pageBreakBefore w:val="0"/>
              <w:widowControl/>
              <w:kinsoku/>
              <w:wordWrap/>
              <w:overflowPunct/>
              <w:topLinePunct w:val="0"/>
              <w:autoSpaceDE/>
              <w:autoSpaceDN/>
              <w:bidi w:val="0"/>
              <w:adjustRightInd/>
              <w:snapToGrid/>
              <w:spacing w:before="75" w:after="75" w:line="260" w:lineRule="exact"/>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14.</w:t>
            </w:r>
            <w:r>
              <w:rPr>
                <w:rFonts w:hint="eastAsia" w:ascii="仿宋" w:hAnsi="仿宋" w:eastAsia="仿宋" w:cs="仿宋"/>
                <w:color w:val="auto"/>
                <w:kern w:val="0"/>
                <w:sz w:val="21"/>
                <w:szCs w:val="21"/>
                <w:highlight w:val="none"/>
              </w:rPr>
              <w:t>空间分辨力</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水平：Φ1.0mm，垂直：Φ1.0mm</w:t>
            </w:r>
          </w:p>
          <w:p>
            <w:pPr>
              <w:keepNext w:val="0"/>
              <w:keepLines w:val="0"/>
              <w:pageBreakBefore w:val="0"/>
              <w:widowControl/>
              <w:kinsoku/>
              <w:wordWrap/>
              <w:overflowPunct/>
              <w:topLinePunct w:val="0"/>
              <w:autoSpaceDE/>
              <w:autoSpaceDN/>
              <w:bidi w:val="0"/>
              <w:adjustRightInd/>
              <w:snapToGrid/>
              <w:spacing w:before="75" w:after="75" w:line="260" w:lineRule="exact"/>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15.</w:t>
            </w:r>
            <w:r>
              <w:rPr>
                <w:rFonts w:hint="eastAsia" w:ascii="仿宋" w:hAnsi="仿宋" w:eastAsia="仿宋" w:cs="仿宋"/>
                <w:color w:val="auto"/>
                <w:kern w:val="0"/>
                <w:sz w:val="21"/>
                <w:szCs w:val="21"/>
                <w:highlight w:val="none"/>
              </w:rPr>
              <w:t>单次检查剂量</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小于1μGy</w:t>
            </w:r>
          </w:p>
          <w:p>
            <w:pPr>
              <w:keepNext w:val="0"/>
              <w:keepLines w:val="0"/>
              <w:pageBreakBefore w:val="0"/>
              <w:widowControl/>
              <w:kinsoku/>
              <w:wordWrap/>
              <w:overflowPunct/>
              <w:topLinePunct w:val="0"/>
              <w:autoSpaceDE/>
              <w:autoSpaceDN/>
              <w:bidi w:val="0"/>
              <w:adjustRightInd/>
              <w:snapToGrid/>
              <w:spacing w:before="75" w:after="75" w:line="260" w:lineRule="exact"/>
              <w:ind w:left="2040" w:hanging="204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16.</w:t>
            </w:r>
            <w:r>
              <w:rPr>
                <w:rFonts w:hint="eastAsia" w:ascii="仿宋" w:hAnsi="仿宋" w:eastAsia="仿宋" w:cs="仿宋"/>
                <w:color w:val="auto"/>
                <w:kern w:val="0"/>
                <w:sz w:val="21"/>
                <w:szCs w:val="21"/>
                <w:highlight w:val="none"/>
              </w:rPr>
              <w:t>泄露射线剂量率</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 小于0.3μGy/h（在距设备外表面5cm的任意处测试均符合且优于国内外健康安全标准）</w:t>
            </w:r>
          </w:p>
          <w:p>
            <w:pPr>
              <w:keepNext w:val="0"/>
              <w:keepLines w:val="0"/>
              <w:pageBreakBefore w:val="0"/>
              <w:widowControl/>
              <w:kinsoku/>
              <w:wordWrap/>
              <w:overflowPunct/>
              <w:topLinePunct w:val="0"/>
              <w:autoSpaceDE/>
              <w:autoSpaceDN/>
              <w:bidi w:val="0"/>
              <w:adjustRightInd/>
              <w:snapToGrid/>
              <w:spacing w:before="75" w:after="75" w:line="260" w:lineRule="exact"/>
              <w:ind w:left="1680" w:hanging="1680"/>
              <w:jc w:val="left"/>
              <w:textAlignment w:val="auto"/>
              <w:rPr>
                <w:rFonts w:hint="eastAsia" w:ascii="仿宋" w:hAnsi="仿宋" w:eastAsia="仿宋" w:cs="仿宋"/>
                <w:color w:val="000000"/>
                <w:kern w:val="0"/>
                <w:sz w:val="21"/>
                <w:szCs w:val="21"/>
                <w:highlight w:val="none"/>
              </w:rPr>
            </w:pPr>
            <w:r>
              <w:rPr>
                <w:rFonts w:hint="eastAsia" w:ascii="仿宋" w:hAnsi="仿宋" w:eastAsia="仿宋" w:cs="仿宋"/>
                <w:color w:val="auto"/>
                <w:kern w:val="0"/>
                <w:sz w:val="21"/>
                <w:szCs w:val="21"/>
                <w:highlight w:val="none"/>
                <w:lang w:val="en-US" w:eastAsia="zh-CN"/>
              </w:rPr>
              <w:t>17.</w:t>
            </w:r>
            <w:r>
              <w:rPr>
                <w:rFonts w:hint="eastAsia" w:ascii="仿宋" w:hAnsi="仿宋" w:eastAsia="仿宋" w:cs="仿宋"/>
                <w:color w:val="auto"/>
                <w:kern w:val="0"/>
                <w:sz w:val="21"/>
                <w:szCs w:val="21"/>
                <w:highlight w:val="none"/>
              </w:rPr>
              <w:t>高效防辐射</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采用双层错缝、耐磨、结实的铅帘，超</w:t>
            </w:r>
            <w:r>
              <w:rPr>
                <w:rFonts w:hint="eastAsia" w:ascii="仿宋" w:hAnsi="仿宋" w:eastAsia="仿宋" w:cs="仿宋"/>
                <w:color w:val="000000"/>
                <w:kern w:val="0"/>
                <w:sz w:val="21"/>
                <w:szCs w:val="21"/>
                <w:highlight w:val="none"/>
              </w:rPr>
              <w:t>厚2-5mm铅板确保设备安全可靠</w:t>
            </w:r>
          </w:p>
          <w:p>
            <w:pPr>
              <w:keepNext w:val="0"/>
              <w:keepLines w:val="0"/>
              <w:pageBreakBefore w:val="0"/>
              <w:widowControl/>
              <w:kinsoku/>
              <w:wordWrap/>
              <w:overflowPunct/>
              <w:topLinePunct w:val="0"/>
              <w:autoSpaceDE/>
              <w:autoSpaceDN/>
              <w:bidi w:val="0"/>
              <w:adjustRightInd/>
              <w:snapToGrid/>
              <w:spacing w:before="75" w:after="75" w:line="260" w:lineRule="exact"/>
              <w:jc w:val="left"/>
              <w:textAlignment w:val="auto"/>
              <w:rPr>
                <w:rFonts w:hint="eastAsia" w:ascii="仿宋" w:hAnsi="仿宋" w:eastAsia="仿宋" w:cs="仿宋"/>
                <w:color w:val="000000"/>
                <w:kern w:val="0"/>
                <w:sz w:val="21"/>
                <w:szCs w:val="21"/>
                <w:highlight w:val="none"/>
              </w:rPr>
            </w:pPr>
            <w:r>
              <w:rPr>
                <w:rFonts w:hint="eastAsia" w:ascii="仿宋" w:hAnsi="仿宋" w:eastAsia="仿宋" w:cs="仿宋"/>
                <w:color w:val="000000"/>
                <w:kern w:val="0"/>
                <w:sz w:val="21"/>
                <w:szCs w:val="21"/>
                <w:highlight w:val="none"/>
                <w:lang w:val="en-US" w:eastAsia="zh-CN"/>
              </w:rPr>
              <w:t>18.</w:t>
            </w:r>
            <w:r>
              <w:rPr>
                <w:rFonts w:hint="eastAsia" w:ascii="仿宋" w:hAnsi="仿宋" w:eastAsia="仿宋" w:cs="仿宋"/>
                <w:color w:val="000000"/>
                <w:kern w:val="0"/>
                <w:sz w:val="21"/>
                <w:szCs w:val="21"/>
                <w:highlight w:val="none"/>
              </w:rPr>
              <w:t>数字接口</w:t>
            </w:r>
            <w:r>
              <w:rPr>
                <w:rFonts w:hint="eastAsia" w:ascii="仿宋" w:hAnsi="仿宋" w:eastAsia="仿宋" w:cs="仿宋"/>
                <w:color w:val="000000"/>
                <w:kern w:val="0"/>
                <w:sz w:val="21"/>
                <w:szCs w:val="21"/>
                <w:highlight w:val="none"/>
                <w:lang w:eastAsia="zh-CN"/>
              </w:rPr>
              <w:t>：</w:t>
            </w:r>
            <w:r>
              <w:rPr>
                <w:rFonts w:hint="eastAsia" w:ascii="仿宋" w:hAnsi="仿宋" w:eastAsia="仿宋" w:cs="仿宋"/>
                <w:color w:val="000000"/>
                <w:kern w:val="0"/>
                <w:sz w:val="21"/>
                <w:szCs w:val="21"/>
                <w:highlight w:val="none"/>
              </w:rPr>
              <w:t>管电压80KV，电流0.6mA</w:t>
            </w:r>
          </w:p>
          <w:p>
            <w:pPr>
              <w:keepNext w:val="0"/>
              <w:keepLines w:val="0"/>
              <w:pageBreakBefore w:val="0"/>
              <w:widowControl/>
              <w:kinsoku/>
              <w:wordWrap/>
              <w:overflowPunct/>
              <w:topLinePunct w:val="0"/>
              <w:autoSpaceDE/>
              <w:autoSpaceDN/>
              <w:bidi w:val="0"/>
              <w:adjustRightInd/>
              <w:snapToGrid/>
              <w:spacing w:before="75" w:after="75" w:line="260" w:lineRule="exact"/>
              <w:jc w:val="left"/>
              <w:textAlignment w:val="auto"/>
              <w:rPr>
                <w:rFonts w:hint="eastAsia" w:ascii="仿宋" w:hAnsi="仿宋" w:eastAsia="仿宋" w:cs="仿宋"/>
                <w:color w:val="000000"/>
                <w:kern w:val="0"/>
                <w:sz w:val="21"/>
                <w:szCs w:val="21"/>
                <w:highlight w:val="none"/>
              </w:rPr>
            </w:pPr>
            <w:r>
              <w:rPr>
                <w:rFonts w:hint="eastAsia" w:ascii="仿宋" w:hAnsi="仿宋" w:eastAsia="仿宋" w:cs="仿宋"/>
                <w:color w:val="000000"/>
                <w:kern w:val="0"/>
                <w:sz w:val="21"/>
                <w:szCs w:val="21"/>
                <w:highlight w:val="none"/>
                <w:lang w:val="en-US" w:eastAsia="zh-CN"/>
              </w:rPr>
              <w:t>19.</w:t>
            </w:r>
            <w:r>
              <w:rPr>
                <w:rFonts w:hint="eastAsia" w:ascii="仿宋" w:hAnsi="仿宋" w:eastAsia="仿宋" w:cs="仿宋"/>
                <w:color w:val="000000"/>
                <w:kern w:val="0"/>
                <w:sz w:val="21"/>
                <w:szCs w:val="21"/>
                <w:highlight w:val="none"/>
              </w:rPr>
              <w:t>冷却／工作周期</w:t>
            </w:r>
            <w:r>
              <w:rPr>
                <w:rFonts w:hint="eastAsia" w:ascii="仿宋" w:hAnsi="仿宋" w:eastAsia="仿宋" w:cs="仿宋"/>
                <w:color w:val="000000"/>
                <w:kern w:val="0"/>
                <w:sz w:val="21"/>
                <w:szCs w:val="21"/>
                <w:highlight w:val="none"/>
                <w:lang w:eastAsia="zh-CN"/>
              </w:rPr>
              <w:t>：</w:t>
            </w:r>
            <w:r>
              <w:rPr>
                <w:rFonts w:hint="eastAsia" w:ascii="仿宋" w:hAnsi="仿宋" w:eastAsia="仿宋" w:cs="仿宋"/>
                <w:color w:val="000000"/>
                <w:kern w:val="0"/>
                <w:sz w:val="21"/>
                <w:szCs w:val="21"/>
                <w:highlight w:val="none"/>
              </w:rPr>
              <w:t>密封式油冷／100％</w:t>
            </w:r>
          </w:p>
          <w:p>
            <w:pPr>
              <w:keepNext w:val="0"/>
              <w:keepLines w:val="0"/>
              <w:pageBreakBefore w:val="0"/>
              <w:widowControl/>
              <w:kinsoku/>
              <w:wordWrap/>
              <w:overflowPunct/>
              <w:topLinePunct w:val="0"/>
              <w:autoSpaceDE/>
              <w:autoSpaceDN/>
              <w:bidi w:val="0"/>
              <w:adjustRightInd/>
              <w:snapToGrid/>
              <w:spacing w:before="75" w:after="75" w:line="260" w:lineRule="exact"/>
              <w:jc w:val="left"/>
              <w:textAlignment w:val="auto"/>
              <w:rPr>
                <w:rFonts w:hint="eastAsia" w:ascii="仿宋" w:hAnsi="仿宋" w:eastAsia="仿宋" w:cs="仿宋"/>
                <w:color w:val="000000"/>
                <w:kern w:val="0"/>
                <w:sz w:val="21"/>
                <w:szCs w:val="21"/>
                <w:highlight w:val="none"/>
              </w:rPr>
            </w:pPr>
            <w:r>
              <w:rPr>
                <w:rFonts w:hint="eastAsia" w:ascii="仿宋" w:hAnsi="仿宋" w:eastAsia="仿宋" w:cs="仿宋"/>
                <w:color w:val="000000"/>
                <w:kern w:val="0"/>
                <w:sz w:val="21"/>
                <w:szCs w:val="21"/>
                <w:highlight w:val="none"/>
                <w:lang w:val="en-US" w:eastAsia="zh-CN"/>
              </w:rPr>
              <w:t>20.</w:t>
            </w:r>
            <w:r>
              <w:rPr>
                <w:rFonts w:hint="eastAsia" w:ascii="仿宋" w:hAnsi="仿宋" w:eastAsia="仿宋" w:cs="仿宋"/>
                <w:color w:val="000000"/>
                <w:kern w:val="0"/>
                <w:sz w:val="21"/>
                <w:szCs w:val="21"/>
                <w:highlight w:val="none"/>
              </w:rPr>
              <w:t>图像处理功能</w:t>
            </w:r>
            <w:r>
              <w:rPr>
                <w:rFonts w:hint="eastAsia" w:ascii="仿宋" w:hAnsi="仿宋" w:eastAsia="仿宋" w:cs="仿宋"/>
                <w:color w:val="000000"/>
                <w:kern w:val="0"/>
                <w:sz w:val="21"/>
                <w:szCs w:val="21"/>
                <w:highlight w:val="none"/>
                <w:lang w:eastAsia="zh-CN"/>
              </w:rPr>
              <w:t>：</w:t>
            </w:r>
            <w:r>
              <w:rPr>
                <w:rFonts w:hint="eastAsia" w:ascii="仿宋" w:hAnsi="仿宋" w:eastAsia="仿宋" w:cs="仿宋"/>
                <w:color w:val="000000"/>
                <w:kern w:val="0"/>
                <w:sz w:val="21"/>
                <w:szCs w:val="21"/>
                <w:highlight w:val="none"/>
              </w:rPr>
              <w:t>彩色/黑白、局增、超增、边缘增强、灰扫、反色、高穿、低穿、增亮、减暗、放大/缩小、回拉/前拉.</w:t>
            </w:r>
          </w:p>
          <w:p>
            <w:pPr>
              <w:keepNext w:val="0"/>
              <w:keepLines w:val="0"/>
              <w:pageBreakBefore w:val="0"/>
              <w:widowControl/>
              <w:kinsoku/>
              <w:wordWrap/>
              <w:overflowPunct/>
              <w:topLinePunct w:val="0"/>
              <w:autoSpaceDE/>
              <w:autoSpaceDN/>
              <w:bidi w:val="0"/>
              <w:adjustRightInd/>
              <w:snapToGrid/>
              <w:spacing w:before="75" w:after="75" w:line="260" w:lineRule="exact"/>
              <w:ind w:left="1200" w:hanging="1200"/>
              <w:jc w:val="left"/>
              <w:textAlignment w:val="auto"/>
              <w:rPr>
                <w:rFonts w:hint="eastAsia" w:ascii="仿宋" w:hAnsi="仿宋" w:eastAsia="仿宋" w:cs="仿宋"/>
                <w:color w:val="000000"/>
                <w:kern w:val="0"/>
                <w:sz w:val="21"/>
                <w:szCs w:val="21"/>
                <w:highlight w:val="none"/>
              </w:rPr>
            </w:pPr>
            <w:r>
              <w:rPr>
                <w:rFonts w:hint="eastAsia" w:ascii="仿宋" w:hAnsi="仿宋" w:eastAsia="仿宋" w:cs="仿宋"/>
                <w:color w:val="000000"/>
                <w:kern w:val="0"/>
                <w:sz w:val="21"/>
                <w:szCs w:val="21"/>
                <w:highlight w:val="none"/>
                <w:lang w:val="en-US" w:eastAsia="zh-CN"/>
              </w:rPr>
              <w:t>21.</w:t>
            </w:r>
            <w:r>
              <w:rPr>
                <w:rFonts w:hint="eastAsia" w:ascii="仿宋" w:hAnsi="仿宋" w:eastAsia="仿宋" w:cs="仿宋"/>
                <w:color w:val="000000"/>
                <w:kern w:val="0"/>
                <w:sz w:val="21"/>
                <w:szCs w:val="21"/>
                <w:highlight w:val="none"/>
              </w:rPr>
              <w:t>系统功能</w:t>
            </w:r>
            <w:r>
              <w:rPr>
                <w:rFonts w:hint="eastAsia" w:ascii="仿宋" w:hAnsi="仿宋" w:eastAsia="仿宋" w:cs="仿宋"/>
                <w:color w:val="000000"/>
                <w:kern w:val="0"/>
                <w:sz w:val="21"/>
                <w:szCs w:val="21"/>
                <w:highlight w:val="none"/>
                <w:lang w:eastAsia="zh-CN"/>
              </w:rPr>
              <w:t>：</w:t>
            </w:r>
            <w:r>
              <w:rPr>
                <w:rFonts w:hint="eastAsia" w:ascii="仿宋" w:hAnsi="仿宋" w:eastAsia="仿宋" w:cs="仿宋"/>
                <w:color w:val="000000"/>
                <w:kern w:val="0"/>
                <w:sz w:val="21"/>
                <w:szCs w:val="21"/>
                <w:highlight w:val="none"/>
              </w:rPr>
              <w:t>开机自检、多级用户管理、图像管理、TIP管理、曲线诊断、系统设备信息、图像镜像、1-16倍无级放大、操作员培训、精准定位过包图像、清空通道提醒、设备信息查询、快速切换语言、U盘升级软件、远程实时查看图像、一键校准、一键关机、智能滚筒（选配）.</w:t>
            </w:r>
          </w:p>
          <w:p>
            <w:pPr>
              <w:keepNext w:val="0"/>
              <w:keepLines w:val="0"/>
              <w:pageBreakBefore w:val="0"/>
              <w:widowControl/>
              <w:kinsoku/>
              <w:wordWrap/>
              <w:overflowPunct/>
              <w:topLinePunct w:val="0"/>
              <w:autoSpaceDE/>
              <w:autoSpaceDN/>
              <w:bidi w:val="0"/>
              <w:adjustRightInd/>
              <w:snapToGrid/>
              <w:spacing w:before="75" w:after="75" w:line="260" w:lineRule="exact"/>
              <w:jc w:val="left"/>
              <w:textAlignment w:val="auto"/>
              <w:rPr>
                <w:rFonts w:hint="eastAsia" w:ascii="仿宋" w:hAnsi="仿宋" w:eastAsia="仿宋" w:cs="仿宋"/>
                <w:color w:val="000000"/>
                <w:kern w:val="0"/>
                <w:sz w:val="21"/>
                <w:szCs w:val="21"/>
                <w:highlight w:val="none"/>
              </w:rPr>
            </w:pPr>
            <w:r>
              <w:rPr>
                <w:rFonts w:hint="eastAsia" w:ascii="仿宋" w:hAnsi="仿宋" w:eastAsia="仿宋" w:cs="仿宋"/>
                <w:color w:val="000000"/>
                <w:kern w:val="0"/>
                <w:sz w:val="21"/>
                <w:szCs w:val="21"/>
                <w:highlight w:val="none"/>
                <w:lang w:val="en-US" w:eastAsia="zh-CN"/>
              </w:rPr>
              <w:t>22.</w:t>
            </w:r>
            <w:r>
              <w:rPr>
                <w:rFonts w:hint="eastAsia" w:ascii="仿宋" w:hAnsi="仿宋" w:eastAsia="仿宋" w:cs="仿宋"/>
                <w:color w:val="000000"/>
                <w:kern w:val="0"/>
                <w:sz w:val="21"/>
                <w:szCs w:val="21"/>
                <w:highlight w:val="none"/>
              </w:rPr>
              <w:t>机架</w:t>
            </w:r>
            <w:r>
              <w:rPr>
                <w:rFonts w:hint="eastAsia" w:ascii="仿宋" w:hAnsi="仿宋" w:eastAsia="仿宋" w:cs="仿宋"/>
                <w:color w:val="000000"/>
                <w:kern w:val="0"/>
                <w:sz w:val="21"/>
                <w:szCs w:val="21"/>
                <w:highlight w:val="none"/>
                <w:lang w:eastAsia="zh-CN"/>
              </w:rPr>
              <w:t>：</w:t>
            </w:r>
            <w:r>
              <w:rPr>
                <w:rFonts w:hint="eastAsia" w:ascii="仿宋" w:hAnsi="仿宋" w:eastAsia="仿宋" w:cs="仿宋"/>
                <w:color w:val="000000"/>
                <w:kern w:val="0"/>
                <w:sz w:val="21"/>
                <w:szCs w:val="21"/>
                <w:highlight w:val="none"/>
              </w:rPr>
              <w:t>防锈 、防腐、防线缆损伤，庄重稳固.</w:t>
            </w:r>
          </w:p>
          <w:p>
            <w:pPr>
              <w:keepNext w:val="0"/>
              <w:keepLines w:val="0"/>
              <w:pageBreakBefore w:val="0"/>
              <w:widowControl/>
              <w:kinsoku/>
              <w:wordWrap/>
              <w:overflowPunct/>
              <w:topLinePunct w:val="0"/>
              <w:autoSpaceDE/>
              <w:autoSpaceDN/>
              <w:bidi w:val="0"/>
              <w:adjustRightInd/>
              <w:snapToGrid/>
              <w:spacing w:before="75" w:after="75" w:line="260" w:lineRule="exact"/>
              <w:ind w:left="2880" w:hanging="2880"/>
              <w:jc w:val="left"/>
              <w:textAlignment w:val="auto"/>
              <w:rPr>
                <w:rFonts w:hint="eastAsia" w:ascii="仿宋" w:hAnsi="仿宋" w:eastAsia="仿宋" w:cs="仿宋"/>
                <w:color w:val="000000"/>
                <w:kern w:val="0"/>
                <w:sz w:val="21"/>
                <w:szCs w:val="21"/>
                <w:highlight w:val="none"/>
              </w:rPr>
            </w:pPr>
            <w:r>
              <w:rPr>
                <w:rFonts w:hint="eastAsia" w:ascii="仿宋" w:hAnsi="仿宋" w:eastAsia="仿宋" w:cs="仿宋"/>
                <w:color w:val="000000"/>
                <w:kern w:val="0"/>
                <w:sz w:val="21"/>
                <w:szCs w:val="21"/>
                <w:highlight w:val="none"/>
                <w:lang w:val="en-US" w:eastAsia="zh-CN"/>
              </w:rPr>
              <w:t>23.</w:t>
            </w:r>
            <w:r>
              <w:rPr>
                <w:rFonts w:hint="eastAsia" w:ascii="仿宋" w:hAnsi="仿宋" w:eastAsia="仿宋" w:cs="仿宋"/>
                <w:color w:val="000000"/>
                <w:kern w:val="0"/>
                <w:sz w:val="21"/>
                <w:szCs w:val="21"/>
                <w:highlight w:val="none"/>
              </w:rPr>
              <w:t>防夹手装置</w:t>
            </w:r>
            <w:r>
              <w:rPr>
                <w:rFonts w:hint="eastAsia" w:ascii="仿宋" w:hAnsi="仿宋" w:eastAsia="仿宋" w:cs="仿宋"/>
                <w:color w:val="000000"/>
                <w:kern w:val="0"/>
                <w:sz w:val="21"/>
                <w:szCs w:val="21"/>
                <w:highlight w:val="none"/>
                <w:lang w:eastAsia="zh-CN"/>
              </w:rPr>
              <w:t>：</w:t>
            </w:r>
            <w:r>
              <w:rPr>
                <w:rFonts w:hint="eastAsia" w:ascii="仿宋" w:hAnsi="仿宋" w:eastAsia="仿宋" w:cs="仿宋"/>
                <w:color w:val="000000"/>
                <w:kern w:val="0"/>
                <w:sz w:val="21"/>
                <w:szCs w:val="21"/>
                <w:highlight w:val="none"/>
              </w:rPr>
              <w:t>通道进出口的皮带下方及接物架独特防夹手设计、安全可靠.</w:t>
            </w:r>
          </w:p>
          <w:p>
            <w:pPr>
              <w:keepNext w:val="0"/>
              <w:keepLines w:val="0"/>
              <w:pageBreakBefore w:val="0"/>
              <w:widowControl/>
              <w:kinsoku/>
              <w:wordWrap/>
              <w:overflowPunct/>
              <w:topLinePunct w:val="0"/>
              <w:autoSpaceDE/>
              <w:autoSpaceDN/>
              <w:bidi w:val="0"/>
              <w:adjustRightInd/>
              <w:snapToGrid/>
              <w:spacing w:before="75" w:after="75" w:line="260" w:lineRule="exact"/>
              <w:ind w:left="1560" w:hanging="1560"/>
              <w:jc w:val="left"/>
              <w:textAlignment w:val="auto"/>
              <w:rPr>
                <w:rFonts w:hint="eastAsia" w:ascii="仿宋" w:hAnsi="仿宋" w:eastAsia="仿宋" w:cs="仿宋"/>
                <w:color w:val="000000"/>
                <w:kern w:val="0"/>
                <w:sz w:val="21"/>
                <w:szCs w:val="21"/>
                <w:highlight w:val="none"/>
              </w:rPr>
            </w:pPr>
            <w:r>
              <w:rPr>
                <w:rFonts w:hint="eastAsia" w:ascii="仿宋" w:hAnsi="仿宋" w:eastAsia="仿宋" w:cs="仿宋"/>
                <w:color w:val="000000"/>
                <w:kern w:val="0"/>
                <w:sz w:val="21"/>
                <w:szCs w:val="21"/>
                <w:highlight w:val="none"/>
                <w:lang w:val="en-US" w:eastAsia="zh-CN"/>
              </w:rPr>
              <w:t>25.</w:t>
            </w:r>
            <w:r>
              <w:rPr>
                <w:rFonts w:hint="eastAsia" w:ascii="仿宋" w:hAnsi="仿宋" w:eastAsia="仿宋" w:cs="仿宋"/>
                <w:color w:val="000000"/>
                <w:kern w:val="0"/>
                <w:sz w:val="21"/>
                <w:szCs w:val="21"/>
                <w:highlight w:val="none"/>
              </w:rPr>
              <w:t>优质皮带</w:t>
            </w:r>
            <w:r>
              <w:rPr>
                <w:rFonts w:hint="eastAsia" w:ascii="仿宋" w:hAnsi="仿宋" w:eastAsia="仿宋" w:cs="仿宋"/>
                <w:color w:val="000000"/>
                <w:kern w:val="0"/>
                <w:sz w:val="21"/>
                <w:szCs w:val="21"/>
                <w:highlight w:val="none"/>
                <w:lang w:eastAsia="zh-CN"/>
              </w:rPr>
              <w:t>：</w:t>
            </w:r>
            <w:r>
              <w:rPr>
                <w:rFonts w:hint="eastAsia" w:ascii="仿宋" w:hAnsi="仿宋" w:eastAsia="仿宋" w:cs="仿宋"/>
                <w:color w:val="000000"/>
                <w:kern w:val="0"/>
                <w:sz w:val="21"/>
                <w:szCs w:val="21"/>
                <w:highlight w:val="none"/>
              </w:rPr>
              <w:t>输送带表面钻石纹面印花、使用中更耐切割、耐刮花；2mm厚度更耐拉伸，不易变形；表面防静电处理，使用时不易被污染.</w:t>
            </w:r>
          </w:p>
          <w:p>
            <w:pPr>
              <w:keepNext w:val="0"/>
              <w:keepLines w:val="0"/>
              <w:pageBreakBefore w:val="0"/>
              <w:widowControl/>
              <w:kinsoku/>
              <w:wordWrap/>
              <w:overflowPunct/>
              <w:topLinePunct w:val="0"/>
              <w:autoSpaceDE/>
              <w:autoSpaceDN/>
              <w:bidi w:val="0"/>
              <w:adjustRightInd/>
              <w:snapToGrid/>
              <w:spacing w:before="75" w:after="75" w:line="260" w:lineRule="exact"/>
              <w:jc w:val="left"/>
              <w:textAlignment w:val="auto"/>
              <w:rPr>
                <w:rFonts w:hint="eastAsia" w:ascii="仿宋" w:hAnsi="仿宋" w:eastAsia="仿宋" w:cs="仿宋"/>
                <w:color w:val="000000"/>
                <w:kern w:val="0"/>
                <w:sz w:val="21"/>
                <w:szCs w:val="21"/>
                <w:highlight w:val="none"/>
              </w:rPr>
            </w:pPr>
            <w:r>
              <w:rPr>
                <w:rFonts w:hint="eastAsia" w:ascii="仿宋" w:hAnsi="仿宋" w:eastAsia="仿宋" w:cs="仿宋"/>
                <w:color w:val="000000"/>
                <w:kern w:val="0"/>
                <w:sz w:val="21"/>
                <w:szCs w:val="21"/>
                <w:highlight w:val="none"/>
                <w:lang w:val="en-US" w:eastAsia="zh-CN"/>
              </w:rPr>
              <w:t>26.</w:t>
            </w:r>
            <w:r>
              <w:rPr>
                <w:rFonts w:hint="eastAsia" w:ascii="仿宋" w:hAnsi="仿宋" w:eastAsia="仿宋" w:cs="仿宋"/>
                <w:color w:val="000000"/>
                <w:kern w:val="0"/>
                <w:sz w:val="21"/>
                <w:szCs w:val="21"/>
                <w:highlight w:val="none"/>
              </w:rPr>
              <w:t xml:space="preserve">外形尺寸（不含接物架） </w:t>
            </w:r>
            <w:r>
              <w:rPr>
                <w:rFonts w:hint="eastAsia" w:ascii="仿宋" w:hAnsi="仿宋" w:eastAsia="仿宋" w:cs="仿宋"/>
                <w:color w:val="000000"/>
                <w:kern w:val="0"/>
                <w:sz w:val="21"/>
                <w:szCs w:val="21"/>
                <w:highlight w:val="none"/>
                <w:lang w:eastAsia="zh-CN"/>
              </w:rPr>
              <w:t>：</w:t>
            </w:r>
            <w:r>
              <w:rPr>
                <w:rFonts w:hint="eastAsia" w:ascii="仿宋" w:hAnsi="仿宋" w:eastAsia="仿宋" w:cs="仿宋"/>
                <w:color w:val="000000"/>
                <w:kern w:val="0"/>
                <w:sz w:val="21"/>
                <w:szCs w:val="21"/>
                <w:highlight w:val="none"/>
              </w:rPr>
              <w:t>1660mm（长）*746mm（宽）* 1165mm（高）</w:t>
            </w:r>
          </w:p>
          <w:p>
            <w:pPr>
              <w:keepNext w:val="0"/>
              <w:keepLines w:val="0"/>
              <w:pageBreakBefore w:val="0"/>
              <w:widowControl/>
              <w:kinsoku/>
              <w:wordWrap/>
              <w:overflowPunct/>
              <w:topLinePunct w:val="0"/>
              <w:autoSpaceDE/>
              <w:autoSpaceDN/>
              <w:bidi w:val="0"/>
              <w:adjustRightInd/>
              <w:snapToGrid/>
              <w:spacing w:before="75" w:after="75" w:line="260" w:lineRule="exact"/>
              <w:jc w:val="left"/>
              <w:textAlignment w:val="auto"/>
              <w:rPr>
                <w:rFonts w:hint="eastAsia" w:ascii="仿宋" w:hAnsi="仿宋" w:eastAsia="仿宋" w:cs="仿宋"/>
                <w:color w:val="000000"/>
                <w:kern w:val="0"/>
                <w:sz w:val="21"/>
                <w:szCs w:val="21"/>
                <w:highlight w:val="none"/>
              </w:rPr>
            </w:pPr>
            <w:r>
              <w:rPr>
                <w:rFonts w:hint="eastAsia" w:ascii="仿宋" w:hAnsi="仿宋" w:eastAsia="仿宋" w:cs="仿宋"/>
                <w:color w:val="000000"/>
                <w:kern w:val="0"/>
                <w:sz w:val="21"/>
                <w:szCs w:val="21"/>
                <w:highlight w:val="none"/>
                <w:lang w:val="en-US" w:eastAsia="zh-CN"/>
              </w:rPr>
              <w:t>27.</w:t>
            </w:r>
            <w:r>
              <w:rPr>
                <w:rFonts w:hint="eastAsia" w:ascii="仿宋" w:hAnsi="仿宋" w:eastAsia="仿宋" w:cs="仿宋"/>
                <w:color w:val="000000"/>
                <w:kern w:val="0"/>
                <w:sz w:val="21"/>
                <w:szCs w:val="21"/>
                <w:highlight w:val="none"/>
              </w:rPr>
              <w:t>工作电源</w:t>
            </w:r>
            <w:r>
              <w:rPr>
                <w:rFonts w:hint="eastAsia" w:ascii="仿宋" w:hAnsi="仿宋" w:eastAsia="仿宋" w:cs="仿宋"/>
                <w:color w:val="000000"/>
                <w:kern w:val="0"/>
                <w:sz w:val="21"/>
                <w:szCs w:val="21"/>
                <w:highlight w:val="none"/>
                <w:lang w:eastAsia="zh-CN"/>
              </w:rPr>
              <w:t>：</w:t>
            </w:r>
            <w:r>
              <w:rPr>
                <w:rFonts w:hint="eastAsia" w:ascii="仿宋" w:hAnsi="仿宋" w:eastAsia="仿宋" w:cs="仿宋"/>
                <w:color w:val="000000"/>
                <w:kern w:val="0"/>
                <w:sz w:val="21"/>
                <w:szCs w:val="21"/>
                <w:highlight w:val="none"/>
              </w:rPr>
              <w:t>220VAC(±10%)  50±3HZ</w:t>
            </w:r>
          </w:p>
          <w:p>
            <w:pPr>
              <w:keepNext w:val="0"/>
              <w:keepLines w:val="0"/>
              <w:pageBreakBefore w:val="0"/>
              <w:widowControl/>
              <w:kinsoku/>
              <w:wordWrap/>
              <w:overflowPunct/>
              <w:topLinePunct w:val="0"/>
              <w:autoSpaceDE/>
              <w:autoSpaceDN/>
              <w:bidi w:val="0"/>
              <w:adjustRightInd/>
              <w:snapToGrid/>
              <w:spacing w:before="75" w:after="75" w:line="260" w:lineRule="exact"/>
              <w:jc w:val="left"/>
              <w:textAlignment w:val="auto"/>
              <w:rPr>
                <w:rFonts w:hint="eastAsia" w:ascii="仿宋" w:hAnsi="仿宋" w:eastAsia="仿宋" w:cs="仿宋"/>
                <w:i w:val="0"/>
                <w:iCs w:val="0"/>
                <w:color w:val="000000"/>
                <w:sz w:val="21"/>
                <w:szCs w:val="21"/>
                <w:highlight w:val="none"/>
                <w:u w:val="none"/>
              </w:rPr>
            </w:pPr>
            <w:r>
              <w:rPr>
                <w:rFonts w:hint="eastAsia" w:ascii="仿宋" w:hAnsi="仿宋" w:eastAsia="仿宋" w:cs="仿宋"/>
                <w:color w:val="000000"/>
                <w:kern w:val="0"/>
                <w:sz w:val="21"/>
                <w:szCs w:val="21"/>
                <w:highlight w:val="none"/>
                <w:lang w:val="en-US" w:eastAsia="zh-CN"/>
              </w:rPr>
              <w:t>28.</w:t>
            </w:r>
            <w:r>
              <w:rPr>
                <w:rFonts w:hint="eastAsia" w:ascii="仿宋" w:hAnsi="仿宋" w:eastAsia="仿宋" w:cs="仿宋"/>
                <w:color w:val="000000"/>
                <w:kern w:val="0"/>
                <w:sz w:val="21"/>
                <w:szCs w:val="21"/>
                <w:highlight w:val="none"/>
              </w:rPr>
              <w:t xml:space="preserve">功耗 </w:t>
            </w:r>
            <w:r>
              <w:rPr>
                <w:rFonts w:hint="eastAsia" w:ascii="仿宋" w:hAnsi="仿宋" w:eastAsia="仿宋" w:cs="仿宋"/>
                <w:color w:val="000000"/>
                <w:kern w:val="0"/>
                <w:sz w:val="21"/>
                <w:szCs w:val="21"/>
                <w:highlight w:val="none"/>
                <w:lang w:eastAsia="zh-CN"/>
              </w:rPr>
              <w:t>：</w:t>
            </w:r>
            <w:r>
              <w:rPr>
                <w:rFonts w:hint="eastAsia" w:ascii="仿宋" w:hAnsi="仿宋" w:eastAsia="仿宋" w:cs="仿宋"/>
                <w:color w:val="000000"/>
                <w:kern w:val="0"/>
                <w:sz w:val="21"/>
                <w:szCs w:val="21"/>
                <w:highlight w:val="none"/>
              </w:rPr>
              <w:t>0.5KW</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3台</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电视机</w:t>
            </w:r>
            <w:r>
              <w:rPr>
                <w:rFonts w:hint="eastAsia" w:ascii="仿宋" w:hAnsi="仿宋" w:eastAsia="仿宋" w:cs="仿宋"/>
                <w:i w:val="0"/>
                <w:iCs w:val="0"/>
                <w:color w:val="000000"/>
                <w:sz w:val="21"/>
                <w:szCs w:val="21"/>
                <w:highlight w:val="none"/>
                <w:u w:val="none"/>
              </w:rPr>
              <w:tab/>
            </w:r>
            <w:r>
              <w:rPr>
                <w:rFonts w:hint="eastAsia" w:ascii="仿宋" w:hAnsi="仿宋" w:eastAsia="仿宋" w:cs="仿宋"/>
                <w:i w:val="0"/>
                <w:iCs w:val="0"/>
                <w:color w:val="000000"/>
                <w:sz w:val="21"/>
                <w:szCs w:val="21"/>
                <w:highlight w:val="none"/>
                <w:u w:val="none"/>
              </w:rPr>
              <w:tab/>
            </w:r>
          </w:p>
        </w:tc>
        <w:tc>
          <w:tcPr>
            <w:tcW w:w="8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1.产品分类：LED</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2.USB支持视频格式mpeg/mpg/mp4/mkv/flv/ts/dat/avi/mov/mkv/mvc/m2ts (MPEG-1/MPEG-2/MPEG-4/H263/H264/H265/VC-1/RV8/9/10/AVS-P16/AVS-P2 JIZHUN)</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3.USB支持移动硬盘容量：2.5T</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4.USB接口：3</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5.包装尺寸（长x宽x高）1390X150X870</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6.包装尺寸（长/深）1390</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7.包装尺寸（宽）150</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8.包装尺寸（高）870</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9.单屏尺寸（宽x高x厚）1228x744x61</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10.单屏尺寸（宽）1228</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11.单屏尺寸（高）744</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12.单屏尺寸（厚）61</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13.含底座尺寸（宽x高x厚）1228x799x269</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14.含底座尺寸（宽）1228</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15.含底座尺寸（高）799</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16.含底座尺寸（厚）269</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17.单屏重量：13.2</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18.含底座重量：13.5</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19.重量（含包装）17.5</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20.屏幕尺寸：55英寸</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21.整机功率：150W</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22.音频输出功率：2*8W</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23.待机功率小于：0.5</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24.网络连接方式：全部支持</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25.USB支持图片格式：jpg/jpeg/bmp/png/tif (JPEG/BMP/GIF/PNG/TIF)</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26.USB支持音频格式：mp2/mp3/wma/wav/flac (MPEG 1/2/2.5,Audio Layer 1/2/3；WMA;WAV;FLAC)</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27.能效等级：4级</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28.是否配备底座：是</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29.是否可壁挂：是</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30.工作电压：220V</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31.屏幕比例：16:9宽屏</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32.分辨率4K超高清(3840*2160)</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33.背光源：DLED</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34.操作系统：阿里yunos</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35.机芯型号：T972</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36.CPU：四核ARM Cortex A55</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37.扬声器数量：4个</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38.机身输入接口：USB*3、HDMI*3、RF*1、Micro SD*1、AV*1、网口*1、同轴*1</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39.壁挂孔距：200*200</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40.底座旋转：否</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41.音频模式：标准，电影，音乐，剧院</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42.音频系统：立体声</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43.支持格式：2160p</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30台</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电脑</w:t>
            </w:r>
          </w:p>
        </w:tc>
        <w:tc>
          <w:tcPr>
            <w:tcW w:w="8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1、机型:商用台式机</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2、CPU:i5-10400</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3、主板:H510 主板:扩展槽≥1个PCI-E*16、≥1个 PCI-E*1</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4、内存:≥16G DDR4 3200Mhz;</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5、USB接口:6个USB接口</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6、硬盘:≥512G NVME M.2</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7、显卡/声卡，独立2G显卡;集成声卡，支持5.1声道</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8、网络接口:集成千兆网卡10/100/1000M 以太网卡</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9、显示器:23.8液晶显示器，分辨率1920*1080，VGA+HDMI双接口</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10、≤260W高效节能电源支持强力散热</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11、键盘/鼠标:防水键盘和抗菌鼠标</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12、操作系统:Win10操作系统</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13、机箱标准立式机箱，机箱体积不大于15L,机箱带原生Type-c接口，内部温度显示</w:t>
            </w:r>
            <w:r>
              <w:rPr>
                <w:rFonts w:hint="eastAsia" w:ascii="仿宋" w:hAnsi="仿宋" w:eastAsia="仿宋" w:cs="仿宋"/>
                <w:i w:val="0"/>
                <w:iCs w:val="0"/>
                <w:color w:val="000000"/>
                <w:sz w:val="21"/>
                <w:szCs w:val="21"/>
                <w:highlight w:val="none"/>
                <w:u w:val="none"/>
                <w:lang w:val="en-US" w:eastAsia="zh-CN"/>
              </w:rPr>
              <w:tab/>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14、电源与主机同品牌</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30台</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打印、复印.扫描一体机</w:t>
            </w:r>
            <w:r>
              <w:rPr>
                <w:rFonts w:hint="eastAsia" w:ascii="仿宋" w:hAnsi="仿宋" w:eastAsia="仿宋" w:cs="仿宋"/>
                <w:i w:val="0"/>
                <w:iCs w:val="0"/>
                <w:color w:val="000000"/>
                <w:sz w:val="21"/>
                <w:szCs w:val="21"/>
                <w:highlight w:val="none"/>
                <w:u w:val="none"/>
              </w:rPr>
              <w:tab/>
            </w:r>
          </w:p>
        </w:tc>
        <w:tc>
          <w:tcPr>
            <w:tcW w:w="8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1.a4黑白激光多功能一体机；</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 xml:space="preserve">2.支持国产系统 </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3.打印速度：33页/分钟；</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4.最大月打印量：60000页；</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5.内存：256MB；</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6.打印语音：PCL6；</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7.双面打印功能：自动双面；</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8.网络打印功能：支持；</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9.复印速度：33页/分钟；</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10.连续复印页数：99页；</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11.扫描类型：平板+ADF；</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12.ADF：50页；</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13.扫描速度：24页/分钟（A4）；</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14.最大扫描尺寸：平板：216×297mm/ADF：216 x 356 mm；</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15.纸张输入容量：250页/手动进纸器：1页；</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16.纸张输出容量：手动进纸器：1页；</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17.尺寸（长×宽×高）：415x365x350mm；</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18.重量：10.46kg；</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19.打印环境：温度范围：10 ~32℃；</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20.湿度范围：20% ~ 80%；</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21.电源电压：AC220~240V；50Hz/60Hz；4.5A；</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22.接口类型：高速 USB 2.0 ;</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23.有线网络：IEEE 802.3 10/100Base-Tx；</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 xml:space="preserve">24.支  持  系   统：Microsoft Windows Server2003/Server2008/Server2012/Server2016/XP/Vista/Win7/Win8/Win8.1/Win10（32/64bit） </w:t>
            </w:r>
          </w:p>
          <w:p>
            <w:pPr>
              <w:numPr>
                <w:ilvl w:val="0"/>
                <w:numId w:val="0"/>
              </w:numPr>
              <w:jc w:val="left"/>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25.支持国产系统。</w:t>
            </w:r>
          </w:p>
          <w:p>
            <w:pPr>
              <w:rPr>
                <w:rFonts w:hint="eastAsia" w:ascii="仿宋" w:hAnsi="仿宋" w:eastAsia="仿宋" w:cs="仿宋"/>
                <w:i w:val="0"/>
                <w:iCs w:val="0"/>
                <w:color w:val="000000"/>
                <w:sz w:val="21"/>
                <w:szCs w:val="21"/>
                <w:highlight w:val="none"/>
                <w:u w:val="none"/>
                <w:lang w:val="en-US" w:eastAsia="zh-CN"/>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30台</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6</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室外强力巨彩Q5大屏</w:t>
            </w:r>
            <w:r>
              <w:rPr>
                <w:rFonts w:hint="eastAsia" w:ascii="仿宋" w:hAnsi="仿宋" w:eastAsia="仿宋" w:cs="仿宋"/>
                <w:i w:val="0"/>
                <w:iCs w:val="0"/>
                <w:color w:val="000000"/>
                <w:sz w:val="21"/>
                <w:szCs w:val="21"/>
                <w:highlight w:val="none"/>
                <w:u w:val="none"/>
              </w:rPr>
              <w:tab/>
            </w:r>
            <w:r>
              <w:rPr>
                <w:rFonts w:hint="eastAsia" w:ascii="仿宋" w:hAnsi="仿宋" w:eastAsia="仿宋" w:cs="仿宋"/>
                <w:i w:val="0"/>
                <w:iCs w:val="0"/>
                <w:color w:val="000000"/>
                <w:sz w:val="21"/>
                <w:szCs w:val="21"/>
                <w:highlight w:val="none"/>
                <w:u w:val="none"/>
              </w:rPr>
              <w:tab/>
            </w:r>
          </w:p>
        </w:tc>
        <w:tc>
          <w:tcPr>
            <w:tcW w:w="8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点中心距：5mm  </w:t>
            </w:r>
          </w:p>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象素密度：40000点/㎡  </w:t>
            </w:r>
          </w:p>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显示基色：全彩  </w:t>
            </w:r>
          </w:p>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屏体分辨率：64×32  </w:t>
            </w:r>
          </w:p>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亮度：≥4500cd/m2  </w:t>
            </w:r>
          </w:p>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可视角度：水平：140°，垂直：130°  </w:t>
            </w:r>
          </w:p>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刷新频率：≥3840HZ  </w:t>
            </w:r>
          </w:p>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使用寿命：≥10000小时  </w:t>
            </w:r>
          </w:p>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单元板尺寸 320×160mm  </w:t>
            </w:r>
          </w:p>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屏体分辨率 64×32 </w:t>
            </w:r>
          </w:p>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全彩 </w:t>
            </w:r>
          </w:p>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可视角度</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 xml:space="preserve"> 水平：140°，垂直：130° </w:t>
            </w:r>
          </w:p>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可视距离 </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 xml:space="preserve">≥5m 亮度 ≥4500cd/m2 </w:t>
            </w:r>
          </w:p>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电气规格</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 xml:space="preserve"> 最大功率 836W/㎡ </w:t>
            </w:r>
          </w:p>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刷新频率 </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 xml:space="preserve">≥3840HZ </w:t>
            </w:r>
          </w:p>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驱动方式</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 xml:space="preserve"> 恒流驱动 </w:t>
            </w:r>
          </w:p>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使用寿命</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 xml:space="preserve"> ≥10000小时 </w:t>
            </w:r>
          </w:p>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扫描方式：1/8扫描 </w:t>
            </w:r>
          </w:p>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单元板重量：0.45kg </w:t>
            </w:r>
          </w:p>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最大电流：≤9.51A </w:t>
            </w:r>
          </w:p>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灯管类型：SMD2525 </w:t>
            </w:r>
          </w:p>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衰减率：≤15%（工作三年）纠错</w:t>
            </w:r>
          </w:p>
          <w:p>
            <w:pPr>
              <w:pStyle w:val="13"/>
              <w:keepNext w:val="0"/>
              <w:keepLines w:val="0"/>
              <w:pageBreakBefore w:val="0"/>
              <w:widowControl w:val="0"/>
              <w:numPr>
                <w:ilvl w:val="0"/>
                <w:numId w:val="8"/>
              </w:numPr>
              <w:kinsoku/>
              <w:wordWrap/>
              <w:overflowPunct/>
              <w:topLinePunct w:val="0"/>
              <w:autoSpaceDE/>
              <w:autoSpaceDN/>
              <w:bidi w:val="0"/>
              <w:adjustRightInd w:val="0"/>
              <w:snapToGrid w:val="0"/>
              <w:spacing w:line="240" w:lineRule="atLeas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面积：12㎡</w:t>
            </w:r>
          </w:p>
          <w:p>
            <w:pPr>
              <w:rPr>
                <w:rFonts w:hint="eastAsia" w:ascii="仿宋" w:hAnsi="仿宋" w:eastAsia="仿宋" w:cs="仿宋"/>
                <w:i w:val="0"/>
                <w:iCs w:val="0"/>
                <w:color w:val="000000"/>
                <w:sz w:val="21"/>
                <w:szCs w:val="21"/>
                <w:highlight w:val="none"/>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30块</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智慧疫苗接种数字系统</w:t>
            </w:r>
            <w:r>
              <w:rPr>
                <w:rFonts w:hint="eastAsia" w:ascii="仿宋" w:hAnsi="仿宋" w:eastAsia="仿宋" w:cs="仿宋"/>
                <w:i w:val="0"/>
                <w:iCs w:val="0"/>
                <w:color w:val="000000"/>
                <w:sz w:val="21"/>
                <w:szCs w:val="21"/>
                <w:highlight w:val="none"/>
                <w:u w:val="none"/>
              </w:rPr>
              <w:tab/>
            </w:r>
          </w:p>
        </w:tc>
        <w:tc>
          <w:tcPr>
            <w:tcW w:w="8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9"/>
              </w:numPr>
              <w:spacing w:line="320" w:lineRule="exact"/>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智慧疫苗接种箱</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lang w:val="en-US" w:eastAsia="zh-CN"/>
              </w:rPr>
              <w:t>2台）</w:t>
            </w:r>
            <w:r>
              <w:rPr>
                <w:rFonts w:hint="eastAsia" w:ascii="仿宋" w:hAnsi="仿宋" w:eastAsia="仿宋" w:cs="仿宋"/>
                <w:sz w:val="21"/>
                <w:szCs w:val="21"/>
                <w:highlight w:val="none"/>
                <w:lang w:eastAsia="zh-CN"/>
              </w:rPr>
              <w:t>：</w:t>
            </w:r>
          </w:p>
          <w:p>
            <w:pPr>
              <w:widowControl/>
              <w:jc w:val="left"/>
              <w:textAlignment w:val="center"/>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 xml:space="preserve">*1、有效容积﹥61L；  </w:t>
            </w:r>
          </w:p>
          <w:p>
            <w:pPr>
              <w:widowControl/>
              <w:jc w:val="left"/>
              <w:textAlignment w:val="center"/>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*2、配备＞10寸触屏，仓储管理，出入库管理简洁</w:t>
            </w:r>
          </w:p>
          <w:p>
            <w:pPr>
              <w:widowControl/>
              <w:jc w:val="left"/>
              <w:textAlignment w:val="center"/>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*3、可弹出抽屉设计，带有可自动开门的疫苗分类存储抽屉，可以实现指定抽屉自动开门。可弹出抽屉数量≥8个，满足储存各类大小疫苗盒数≥70盒。</w:t>
            </w:r>
          </w:p>
          <w:p>
            <w:pPr>
              <w:widowControl/>
              <w:jc w:val="left"/>
              <w:textAlignment w:val="center"/>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4、制冷系统：风冷系统，保证箱内任意点的温度为设定温度±3℃内</w:t>
            </w:r>
          </w:p>
          <w:p>
            <w:pPr>
              <w:widowControl/>
              <w:jc w:val="left"/>
              <w:textAlignment w:val="center"/>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5、温度控制：电脑板控制，箱内温度数字显示，显示精度0.1℃</w:t>
            </w:r>
          </w:p>
          <w:p>
            <w:pPr>
              <w:widowControl/>
              <w:jc w:val="left"/>
              <w:textAlignment w:val="center"/>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6、安全保护：密码保护参数不能随意更改；输入密码才能进入系统查看并更改参数</w:t>
            </w:r>
          </w:p>
          <w:p>
            <w:pPr>
              <w:widowControl/>
              <w:jc w:val="left"/>
              <w:textAlignment w:val="center"/>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7、报警：高低温报警、传感器故障报警、远程报警。</w:t>
            </w:r>
          </w:p>
          <w:p>
            <w:pPr>
              <w:widowControl/>
              <w:jc w:val="left"/>
              <w:textAlignment w:val="center"/>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*8、数据及网络功能：精准出入库数据管理、智能的接种台终端，可与登记叫号系统、疾控中心免疫规划系统无缝对接</w:t>
            </w:r>
          </w:p>
          <w:p>
            <w:pPr>
              <w:widowControl/>
              <w:jc w:val="left"/>
              <w:textAlignment w:val="center"/>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*9、身份识别功能：配备密码及指纹等身份识别功能，可追溯使用者，也可规避风险</w:t>
            </w:r>
          </w:p>
          <w:p>
            <w:pPr>
              <w:widowControl/>
              <w:jc w:val="left"/>
              <w:textAlignment w:val="center"/>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*10、疫苗的信息追溯：疫苗厂家、批次、温度、接种部位、电子监管码等信息的记录与追</w:t>
            </w:r>
          </w:p>
          <w:p>
            <w:pPr>
              <w:widowControl/>
              <w:jc w:val="left"/>
              <w:textAlignment w:val="center"/>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*11、带有条码扫描台，条码扫描台可以支持扫描一维码、二维码扫描，扫描速度快。</w:t>
            </w:r>
          </w:p>
          <w:p>
            <w:pPr>
              <w:widowControl/>
              <w:jc w:val="left"/>
              <w:textAlignment w:val="center"/>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*12、集成疫苗出入库管理系统和冷链监控系统，完成疫苗可追溯的过程管理。</w:t>
            </w:r>
          </w:p>
          <w:p>
            <w:pPr>
              <w:widowControl/>
              <w:jc w:val="left"/>
              <w:textAlignment w:val="center"/>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*13、通过触摸屏的操作实现叫号管理。</w:t>
            </w:r>
          </w:p>
          <w:p>
            <w:pPr>
              <w:widowControl/>
              <w:jc w:val="left"/>
              <w:textAlignment w:val="center"/>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14、多种联网方式，带有WIFI、RJ45、SIM卡三种联网方式</w:t>
            </w:r>
          </w:p>
          <w:p>
            <w:pPr>
              <w:widowControl/>
              <w:jc w:val="left"/>
              <w:textAlignment w:val="center"/>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*1</w:t>
            </w: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.供应商需提供该项目设备的操作指导说明。</w:t>
            </w:r>
          </w:p>
          <w:p>
            <w:pPr>
              <w:widowControl/>
              <w:jc w:val="left"/>
              <w:textAlignment w:val="center"/>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1</w:t>
            </w:r>
            <w:r>
              <w:rPr>
                <w:rFonts w:hint="eastAsia" w:ascii="仿宋" w:hAnsi="仿宋" w:eastAsia="仿宋" w:cs="仿宋"/>
                <w:sz w:val="21"/>
                <w:szCs w:val="21"/>
                <w:highlight w:val="none"/>
                <w:lang w:val="en-US" w:eastAsia="zh-CN"/>
              </w:rPr>
              <w:t>6</w:t>
            </w:r>
            <w:r>
              <w:rPr>
                <w:rFonts w:hint="eastAsia" w:ascii="仿宋" w:hAnsi="仿宋" w:eastAsia="仿宋" w:cs="仿宋"/>
                <w:sz w:val="21"/>
                <w:szCs w:val="21"/>
                <w:highlight w:val="none"/>
              </w:rPr>
              <w:t>.完全满足新疆免疫规划信息管理系统的数据交换要求以及数据集成的要求，并承担涉及本设备项目的数据对接和信息集成全部费用。</w:t>
            </w:r>
          </w:p>
          <w:p>
            <w:pPr>
              <w:pStyle w:val="6"/>
              <w:numPr>
                <w:ilvl w:val="0"/>
                <w:numId w:val="0"/>
              </w:numPr>
              <w:rPr>
                <w:rFonts w:hint="eastAsia" w:ascii="仿宋" w:hAnsi="仿宋" w:eastAsia="仿宋" w:cs="仿宋"/>
                <w:color w:val="auto"/>
                <w:sz w:val="21"/>
                <w:szCs w:val="21"/>
                <w:highlight w:val="none"/>
              </w:rPr>
            </w:pPr>
            <w:r>
              <w:rPr>
                <w:rFonts w:hint="eastAsia" w:ascii="仿宋" w:hAnsi="仿宋" w:eastAsia="仿宋" w:cs="仿宋"/>
                <w:sz w:val="21"/>
                <w:szCs w:val="21"/>
                <w:highlight w:val="none"/>
              </w:rPr>
              <w:t>*1</w:t>
            </w:r>
            <w:r>
              <w:rPr>
                <w:rFonts w:hint="eastAsia" w:ascii="仿宋" w:hAnsi="仿宋" w:eastAsia="仿宋" w:cs="仿宋"/>
                <w:sz w:val="21"/>
                <w:szCs w:val="21"/>
                <w:highlight w:val="none"/>
                <w:lang w:val="en-US" w:eastAsia="zh-CN"/>
              </w:rPr>
              <w:t>7</w:t>
            </w:r>
            <w:r>
              <w:rPr>
                <w:rFonts w:hint="eastAsia" w:ascii="仿宋" w:hAnsi="仿宋" w:eastAsia="仿宋" w:cs="仿宋"/>
                <w:sz w:val="21"/>
                <w:szCs w:val="21"/>
                <w:highlight w:val="none"/>
              </w:rPr>
              <w:t>.储品报警系统：疫苗存量警戒值报警、疫</w:t>
            </w:r>
            <w:r>
              <w:rPr>
                <w:rFonts w:hint="eastAsia" w:ascii="仿宋" w:hAnsi="仿宋" w:eastAsia="仿宋" w:cs="仿宋"/>
                <w:color w:val="auto"/>
                <w:sz w:val="21"/>
                <w:szCs w:val="21"/>
                <w:highlight w:val="none"/>
              </w:rPr>
              <w:t>苗有效期报警；</w:t>
            </w:r>
          </w:p>
          <w:p>
            <w:pPr>
              <w:numPr>
                <w:ilvl w:val="0"/>
                <w:numId w:val="9"/>
              </w:numPr>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电脑</w:t>
            </w: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2台）</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电脑配置，4G内存，1T硬盘，品牌处理器，品牌主板，21寸显示器。</w:t>
            </w:r>
          </w:p>
          <w:p>
            <w:pPr>
              <w:numPr>
                <w:ilvl w:val="0"/>
                <w:numId w:val="9"/>
              </w:numPr>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智慧疫苗保存箱</w:t>
            </w: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1台）</w:t>
            </w:r>
            <w:r>
              <w:rPr>
                <w:rFonts w:hint="eastAsia" w:ascii="仿宋" w:hAnsi="仿宋" w:eastAsia="仿宋" w:cs="仿宋"/>
                <w:color w:val="auto"/>
                <w:sz w:val="21"/>
                <w:szCs w:val="21"/>
                <w:highlight w:val="none"/>
                <w:lang w:val="en-US" w:eastAsia="zh-CN"/>
              </w:rPr>
              <w:t>：</w:t>
            </w:r>
          </w:p>
          <w:p>
            <w:pPr>
              <w:numPr>
                <w:ilvl w:val="0"/>
                <w:numId w:val="0"/>
              </w:numPr>
              <w:ind w:leftChars="0"/>
              <w:rPr>
                <w:rFonts w:hint="eastAsia" w:ascii="仿宋" w:hAnsi="仿宋" w:eastAsia="仿宋" w:cs="仿宋"/>
                <w:sz w:val="21"/>
                <w:szCs w:val="21"/>
                <w:highlight w:val="none"/>
              </w:rPr>
            </w:pPr>
            <w:r>
              <w:rPr>
                <w:rFonts w:hint="eastAsia" w:ascii="仿宋" w:hAnsi="仿宋" w:eastAsia="仿宋" w:cs="仿宋"/>
                <w:sz w:val="21"/>
                <w:szCs w:val="21"/>
                <w:highlight w:val="none"/>
              </w:rPr>
              <w:t>*1、有效容积:冷藏室有效容积≥</w:t>
            </w:r>
            <w:r>
              <w:rPr>
                <w:rFonts w:hint="eastAsia" w:ascii="仿宋" w:hAnsi="仿宋" w:eastAsia="仿宋" w:cs="仿宋"/>
                <w:sz w:val="21"/>
                <w:szCs w:val="21"/>
                <w:highlight w:val="none"/>
                <w:lang w:val="en-US" w:eastAsia="zh-CN"/>
              </w:rPr>
              <w:t>506</w:t>
            </w:r>
            <w:r>
              <w:rPr>
                <w:rFonts w:hint="eastAsia" w:ascii="仿宋" w:hAnsi="仿宋" w:eastAsia="仿宋" w:cs="仿宋"/>
                <w:sz w:val="21"/>
                <w:szCs w:val="21"/>
                <w:highlight w:val="none"/>
              </w:rPr>
              <w:t>L；冷冻室有效容积≥10L</w:t>
            </w:r>
          </w:p>
          <w:p>
            <w:pPr>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rPr>
              <w:t>.微电脑控制，内置2个温度传感器，控温精度0.1°C，LED数码管显示箱内温度，观察方便。</w:t>
            </w:r>
          </w:p>
          <w:p>
            <w:pPr>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.显示：采用微电脑控制系统，数字显示双温区温度，双温区显示精度1℃。（后期改成冷藏显示精度0.1℃；冷冻显示精度1℃）</w:t>
            </w:r>
          </w:p>
          <w:p>
            <w:pPr>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4</w:t>
            </w:r>
            <w:r>
              <w:rPr>
                <w:rFonts w:hint="eastAsia" w:ascii="仿宋" w:hAnsi="仿宋" w:eastAsia="仿宋" w:cs="仿宋"/>
                <w:sz w:val="21"/>
                <w:szCs w:val="21"/>
                <w:highlight w:val="none"/>
              </w:rPr>
              <w:t>、冷藏区温度恒定在2～8℃范围，科学风道设计，风冷循环，箱内温度均匀性为±3°C。</w:t>
            </w:r>
          </w:p>
          <w:p>
            <w:pPr>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多种故障报警（高低温报警、传感器报警、电池电量低报警、开门报警、断电报警）</w:t>
            </w:r>
          </w:p>
          <w:p>
            <w:pPr>
              <w:rPr>
                <w:rFonts w:hint="eastAsia" w:ascii="仿宋" w:hAnsi="仿宋" w:eastAsia="仿宋" w:cs="仿宋"/>
                <w:sz w:val="21"/>
                <w:szCs w:val="21"/>
                <w:highlight w:val="none"/>
              </w:rPr>
            </w:pPr>
            <w:r>
              <w:rPr>
                <w:rFonts w:hint="eastAsia" w:ascii="仿宋" w:hAnsi="仿宋" w:eastAsia="仿宋" w:cs="仿宋"/>
                <w:sz w:val="21"/>
                <w:szCs w:val="21"/>
                <w:highlight w:val="none"/>
              </w:rPr>
              <w:t>两种报警方式（声音蜂鸣报警、灯光闪烁报警），内置蓄电池，断电后可持续显示箱内温度及声光报警48小时；</w:t>
            </w:r>
          </w:p>
          <w:p>
            <w:pPr>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6</w:t>
            </w:r>
            <w:r>
              <w:rPr>
                <w:rFonts w:hint="eastAsia" w:ascii="仿宋" w:hAnsi="仿宋" w:eastAsia="仿宋" w:cs="仿宋"/>
                <w:sz w:val="21"/>
                <w:szCs w:val="21"/>
                <w:highlight w:val="none"/>
              </w:rPr>
              <w:t>、冷凝水汇集后自动蒸发，免除人工处理冷凝水的烦恼；</w:t>
            </w:r>
          </w:p>
          <w:p>
            <w:pPr>
              <w:rPr>
                <w:rFonts w:hint="eastAsia" w:ascii="仿宋" w:hAnsi="仿宋" w:eastAsia="仿宋" w:cs="仿宋"/>
                <w:sz w:val="21"/>
                <w:szCs w:val="21"/>
                <w:highlight w:val="none"/>
              </w:rPr>
            </w:pPr>
            <w:r>
              <w:rPr>
                <w:rFonts w:hint="eastAsia" w:ascii="仿宋" w:hAnsi="仿宋" w:eastAsia="仿宋" w:cs="仿宋"/>
                <w:sz w:val="21"/>
                <w:szCs w:val="21"/>
                <w:highlight w:val="none"/>
              </w:rPr>
              <w:t>7</w:t>
            </w:r>
            <w:r>
              <w:rPr>
                <w:rFonts w:hint="eastAsia" w:ascii="仿宋" w:hAnsi="仿宋" w:eastAsia="仿宋" w:cs="仿宋"/>
                <w:sz w:val="21"/>
                <w:szCs w:val="21"/>
                <w:highlight w:val="none"/>
                <w:lang w:val="en-US" w:eastAsia="zh-CN"/>
              </w:rPr>
              <w:t>、</w:t>
            </w:r>
            <w:r>
              <w:rPr>
                <w:rFonts w:hint="eastAsia" w:ascii="仿宋" w:hAnsi="仿宋" w:eastAsia="仿宋" w:cs="仿宋"/>
                <w:sz w:val="21"/>
                <w:szCs w:val="21"/>
                <w:highlight w:val="none"/>
              </w:rPr>
              <w:t>配备脚轮，灵活，可移动、可通过底脚固定。</w:t>
            </w:r>
          </w:p>
          <w:p>
            <w:pPr>
              <w:rPr>
                <w:rFonts w:hint="eastAsia" w:ascii="仿宋" w:hAnsi="仿宋" w:eastAsia="仿宋" w:cs="仿宋"/>
                <w:sz w:val="21"/>
                <w:szCs w:val="21"/>
                <w:highlight w:val="none"/>
              </w:rPr>
            </w:pPr>
            <w:r>
              <w:rPr>
                <w:rFonts w:hint="eastAsia" w:ascii="仿宋" w:hAnsi="仿宋" w:eastAsia="仿宋" w:cs="仿宋"/>
                <w:sz w:val="21"/>
                <w:szCs w:val="21"/>
                <w:highlight w:val="none"/>
              </w:rPr>
              <w:t>8、压缩机：HC制冷剂，节能环保；</w:t>
            </w:r>
          </w:p>
          <w:p>
            <w:pPr>
              <w:rPr>
                <w:rFonts w:hint="eastAsia" w:ascii="仿宋" w:hAnsi="仿宋" w:eastAsia="仿宋" w:cs="仿宋"/>
                <w:sz w:val="21"/>
                <w:szCs w:val="21"/>
                <w:highlight w:val="none"/>
              </w:rPr>
            </w:pPr>
            <w:r>
              <w:rPr>
                <w:rFonts w:hint="eastAsia" w:ascii="仿宋" w:hAnsi="仿宋" w:eastAsia="仿宋" w:cs="仿宋"/>
                <w:sz w:val="21"/>
                <w:szCs w:val="21"/>
                <w:highlight w:val="none"/>
              </w:rPr>
              <w:t>9、风机：高效节能，低噪音，使用寿命长；</w:t>
            </w:r>
          </w:p>
          <w:p>
            <w:pPr>
              <w:rPr>
                <w:rFonts w:hint="eastAsia" w:ascii="仿宋" w:hAnsi="仿宋" w:eastAsia="仿宋" w:cs="仿宋"/>
                <w:sz w:val="21"/>
                <w:szCs w:val="21"/>
                <w:highlight w:val="none"/>
              </w:rPr>
            </w:pPr>
            <w:r>
              <w:rPr>
                <w:rFonts w:hint="eastAsia" w:ascii="仿宋" w:hAnsi="仿宋" w:eastAsia="仿宋" w:cs="仿宋"/>
                <w:sz w:val="21"/>
                <w:szCs w:val="21"/>
                <w:highlight w:val="none"/>
              </w:rPr>
              <w:t>10、材料：箱体采用喷粉冷轧钢板；内胆PS真空吸附内胆，有效防菌防腐蚀；</w:t>
            </w:r>
          </w:p>
          <w:p>
            <w:pPr>
              <w:rPr>
                <w:rFonts w:hint="eastAsia" w:ascii="仿宋" w:hAnsi="仿宋" w:eastAsia="仿宋" w:cs="仿宋"/>
                <w:sz w:val="21"/>
                <w:szCs w:val="21"/>
                <w:highlight w:val="none"/>
              </w:rPr>
            </w:pPr>
            <w:r>
              <w:rPr>
                <w:rFonts w:hint="eastAsia" w:ascii="仿宋" w:hAnsi="仿宋" w:eastAsia="仿宋" w:cs="仿宋"/>
                <w:sz w:val="21"/>
                <w:szCs w:val="21"/>
                <w:highlight w:val="none"/>
              </w:rPr>
              <w:t>11、发泡门：发泡层厚度为40mm，保温性能优，具有自关门功能；</w:t>
            </w:r>
          </w:p>
          <w:p>
            <w:pPr>
              <w:rPr>
                <w:rFonts w:hint="eastAsia" w:ascii="仿宋" w:hAnsi="仿宋" w:eastAsia="仿宋" w:cs="仿宋"/>
                <w:sz w:val="21"/>
                <w:szCs w:val="21"/>
                <w:highlight w:val="none"/>
              </w:rPr>
            </w:pPr>
            <w:r>
              <w:rPr>
                <w:rFonts w:hint="eastAsia" w:ascii="仿宋" w:hAnsi="仿宋" w:eastAsia="仿宋" w:cs="仿宋"/>
                <w:sz w:val="21"/>
                <w:szCs w:val="21"/>
                <w:highlight w:val="none"/>
              </w:rPr>
              <w:t>12、八层三段式抽屉设计：标配8个抽屉，分为三段可调，支持先进先出方式，方便用户拿取疫苗；抽屉带有无限分隔功能，可根据存放物品的规格合理调整间隙，充分利用空间，本着先入先出原则，便于区分存储疫苗；</w:t>
            </w:r>
          </w:p>
          <w:p>
            <w:pPr>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13、灯：LED照明灯，功耗低，亮度高，手动开关控制 </w:t>
            </w:r>
          </w:p>
          <w:p>
            <w:pPr>
              <w:rPr>
                <w:rFonts w:hint="eastAsia" w:ascii="仿宋" w:hAnsi="仿宋" w:eastAsia="仿宋" w:cs="仿宋"/>
                <w:sz w:val="21"/>
                <w:szCs w:val="21"/>
                <w:highlight w:val="none"/>
              </w:rPr>
            </w:pPr>
            <w:r>
              <w:rPr>
                <w:rFonts w:hint="eastAsia" w:ascii="仿宋" w:hAnsi="仿宋" w:eastAsia="仿宋" w:cs="仿宋"/>
                <w:sz w:val="21"/>
                <w:szCs w:val="21"/>
                <w:highlight w:val="none"/>
              </w:rPr>
              <w:t>14、门体双锁结构，防止门体随意开启，保证存储物品安全。</w:t>
            </w:r>
          </w:p>
          <w:p>
            <w:pPr>
              <w:rPr>
                <w:rFonts w:hint="eastAsia" w:ascii="仿宋" w:hAnsi="仿宋" w:eastAsia="仿宋" w:cs="仿宋"/>
                <w:sz w:val="21"/>
                <w:szCs w:val="21"/>
                <w:highlight w:val="none"/>
              </w:rPr>
            </w:pPr>
            <w:r>
              <w:rPr>
                <w:rFonts w:hint="eastAsia" w:ascii="仿宋" w:hAnsi="仿宋" w:eastAsia="仿宋" w:cs="仿宋"/>
                <w:sz w:val="21"/>
                <w:szCs w:val="21"/>
                <w:highlight w:val="none"/>
              </w:rPr>
              <w:t>15、后备电池设计，断电后仍可实时显示箱内温度，时间可达48小时。</w:t>
            </w:r>
          </w:p>
          <w:p>
            <w:pPr>
              <w:rPr>
                <w:rFonts w:hint="eastAsia" w:ascii="仿宋" w:hAnsi="仿宋" w:eastAsia="仿宋" w:cs="仿宋"/>
                <w:sz w:val="21"/>
                <w:szCs w:val="21"/>
                <w:highlight w:val="none"/>
              </w:rPr>
            </w:pPr>
            <w:r>
              <w:rPr>
                <w:rFonts w:hint="eastAsia" w:ascii="仿宋" w:hAnsi="仿宋" w:eastAsia="仿宋" w:cs="仿宋"/>
                <w:sz w:val="21"/>
                <w:szCs w:val="21"/>
                <w:highlight w:val="none"/>
              </w:rPr>
              <w:t>16、冷链监控功能：疫苗软件系统自带冷链监控功能，可监控冷冻和冷藏两个温区的实时温度；</w:t>
            </w:r>
          </w:p>
          <w:p>
            <w:pPr>
              <w:rPr>
                <w:rFonts w:hint="eastAsia" w:ascii="仿宋" w:hAnsi="仿宋" w:eastAsia="仿宋" w:cs="仿宋"/>
                <w:sz w:val="21"/>
                <w:szCs w:val="21"/>
                <w:highlight w:val="none"/>
              </w:rPr>
            </w:pPr>
            <w:r>
              <w:rPr>
                <w:rFonts w:hint="eastAsia" w:ascii="仿宋" w:hAnsi="仿宋" w:eastAsia="仿宋" w:cs="仿宋"/>
                <w:sz w:val="21"/>
                <w:szCs w:val="21"/>
                <w:highlight w:val="none"/>
              </w:rPr>
              <w:t>17、冷冻区配有一个冷冻室，冷冻温度范围为-25±5℃，用于存储二价脊灰疫苗。</w:t>
            </w:r>
          </w:p>
          <w:p>
            <w:pPr>
              <w:rPr>
                <w:rFonts w:hint="eastAsia" w:ascii="仿宋" w:hAnsi="仿宋" w:eastAsia="仿宋" w:cs="仿宋"/>
                <w:sz w:val="21"/>
                <w:szCs w:val="21"/>
                <w:highlight w:val="none"/>
              </w:rPr>
            </w:pPr>
            <w:r>
              <w:rPr>
                <w:rFonts w:hint="eastAsia" w:ascii="仿宋" w:hAnsi="仿宋" w:eastAsia="仿宋" w:cs="仿宋"/>
                <w:sz w:val="21"/>
                <w:szCs w:val="21"/>
                <w:highlight w:val="none"/>
              </w:rPr>
              <w:t>18、带有疫苗管理系统VIMS，实现疫苗信息化管理和人员权限管理；</w:t>
            </w:r>
          </w:p>
          <w:p>
            <w:pPr>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19、出入库扫描采用无线扫码枪，可进行远程操作。</w:t>
            </w:r>
          </w:p>
          <w:p>
            <w:pPr>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20、</w:t>
            </w:r>
            <w:r>
              <w:rPr>
                <w:rFonts w:hint="eastAsia" w:ascii="仿宋" w:hAnsi="仿宋" w:eastAsia="仿宋" w:cs="仿宋"/>
                <w:sz w:val="21"/>
                <w:szCs w:val="21"/>
                <w:highlight w:val="none"/>
              </w:rPr>
              <w:t>具有远程报警功能，可连接报警器到其他房间实现报警功能。</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w:t>
            </w:r>
            <w:r>
              <w:rPr>
                <w:rFonts w:hint="eastAsia" w:ascii="仿宋" w:hAnsi="仿宋" w:eastAsia="仿宋" w:cs="仿宋"/>
                <w:sz w:val="21"/>
                <w:szCs w:val="21"/>
                <w:highlight w:val="none"/>
              </w:rPr>
              <w:t>疫苗保存冷藏箱</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lang w:val="en-US" w:eastAsia="zh-CN"/>
              </w:rPr>
              <w:t>1台）</w:t>
            </w:r>
            <w:r>
              <w:rPr>
                <w:rFonts w:hint="eastAsia" w:ascii="仿宋" w:hAnsi="仿宋" w:eastAsia="仿宋" w:cs="仿宋"/>
                <w:sz w:val="21"/>
                <w:szCs w:val="21"/>
                <w:highlight w:val="none"/>
                <w:lang w:val="en-US" w:eastAsia="zh-CN"/>
              </w:rPr>
              <w:t>：</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*1、有效容积:冷藏室有效容积≥306L；冷冻室有效容积≥10L；</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*2、配备＞10寸触屏，可搭载疫苗管理系统软件，实现疫苗信息化管理和人员权限管理；</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3.微电脑控制，内置2个温度传感器，控温精度0.1°C， LED数码管显示，观察方便。</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4显示：采用微电脑控制系统，数字显示箱内温度，显示精度0.1℃。可实时监控箱内温度。</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5.冷藏区温度恒定在2～8℃范围，科学风道设计，风冷循环，箱内温度均匀性为±3°C。</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*6.多种故障报警：高低温报警、传感器报警、电池电量低报警、开门报警、断电报警；</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报警方式：声音蜂鸣报警、灯光闪烁报警，内置蓄电池，断电后可持续显示箱内温度及声光报警≥48小时；具有远程报警功能，可通过微信公众号或APP实现相关人员报警提醒。</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7.冷凝水汇集后自动蒸发，免除人工处理冷凝水的烦恼；</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8. 配备脚轮，灵活，可移动、可通过底脚固定。</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9.压缩机：HC制冷剂，节能环保，需提供相关证明文件；</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*10.风机：高效节能，低噪音，使用寿命长；</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11.材料：箱体采用喷粉冷轧钢板；内胆PS真空吸附内胆，有效防菌防腐蚀；</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12.发泡门：发泡层厚度为40mm，保温性能优，具有自关门功能；</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*13.内部抽屉设计：标配≥5个抽屉，分为三段可调，抽屉带有无限分隔功能；</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 xml:space="preserve">14、灯：LED照明灯，功耗低，亮度高，手动开关控制 </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15、门体双锁结构，防止门体随意开启，保证存储物品安全。</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16、后备电池设计，断电后仍可实时显示箱内温度，时间可达48小时。</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17、冷链监控功能：可同时监控冷冻和冷藏两个温区的实时温度；</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18、冷冻室功能要求：温度范围为-25±5℃；需配有冰排室，冰排数量≥4个。</w:t>
            </w:r>
          </w:p>
          <w:p>
            <w:pP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5.取号机</w:t>
            </w:r>
            <w:r>
              <w:rPr>
                <w:rFonts w:hint="eastAsia" w:ascii="仿宋" w:hAnsi="仿宋" w:eastAsia="仿宋" w:cs="仿宋"/>
                <w:b/>
                <w:bCs/>
                <w:sz w:val="21"/>
                <w:szCs w:val="21"/>
                <w:highlight w:val="none"/>
                <w:lang w:val="en-US" w:eastAsia="zh-CN"/>
              </w:rPr>
              <w:t>（1台）</w:t>
            </w:r>
            <w:r>
              <w:rPr>
                <w:rFonts w:hint="eastAsia" w:ascii="仿宋" w:hAnsi="仿宋" w:eastAsia="仿宋" w:cs="仿宋"/>
                <w:sz w:val="21"/>
                <w:szCs w:val="21"/>
                <w:highlight w:val="none"/>
                <w:lang w:val="en-US" w:eastAsia="zh-CN"/>
              </w:rPr>
              <w:t>：主机配置：双核 1.6G/DDR3  1G内存/16G固态硬盘/集成声卡网卡显卡。液晶触摸屏21.5英寸、主控机、5.8mm高速热敏打印机、音箱，长65.04cm*宽38.12cm*厚6.82cm</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6.留观机</w:t>
            </w:r>
            <w:r>
              <w:rPr>
                <w:rFonts w:hint="eastAsia" w:ascii="仿宋" w:hAnsi="仿宋" w:eastAsia="仿宋" w:cs="仿宋"/>
                <w:b/>
                <w:bCs/>
                <w:sz w:val="21"/>
                <w:szCs w:val="21"/>
                <w:highlight w:val="none"/>
                <w:lang w:val="en-US" w:eastAsia="zh-CN"/>
              </w:rPr>
              <w:t>（1台）</w:t>
            </w:r>
            <w:r>
              <w:rPr>
                <w:rFonts w:hint="eastAsia" w:ascii="仿宋" w:hAnsi="仿宋" w:eastAsia="仿宋" w:cs="仿宋"/>
                <w:sz w:val="21"/>
                <w:szCs w:val="21"/>
                <w:highlight w:val="none"/>
                <w:lang w:val="en-US" w:eastAsia="zh-CN"/>
              </w:rPr>
              <w:tab/>
            </w:r>
            <w:r>
              <w:rPr>
                <w:rFonts w:hint="eastAsia" w:ascii="仿宋" w:hAnsi="仿宋" w:eastAsia="仿宋" w:cs="仿宋"/>
                <w:sz w:val="21"/>
                <w:szCs w:val="21"/>
                <w:highlight w:val="none"/>
                <w:lang w:val="en-US" w:eastAsia="zh-CN"/>
              </w:rPr>
              <w:t>主机配置：双核 1.6G/DDR3  1G内存/16G固态硬盘/集成声卡网卡显卡。液晶触摸屏21.5英寸、主控机、音箱，长65.04cm*宽38.12cm*厚6.82cm；</w:t>
            </w:r>
          </w:p>
          <w:p>
            <w:pP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7.签核验证一体机</w:t>
            </w:r>
            <w:r>
              <w:rPr>
                <w:rFonts w:hint="eastAsia" w:ascii="仿宋" w:hAnsi="仿宋" w:eastAsia="仿宋" w:cs="仿宋"/>
                <w:b/>
                <w:bCs/>
                <w:sz w:val="21"/>
                <w:szCs w:val="21"/>
                <w:highlight w:val="none"/>
                <w:lang w:val="en-US" w:eastAsia="zh-CN"/>
              </w:rPr>
              <w:t>（2台）</w:t>
            </w:r>
            <w:r>
              <w:rPr>
                <w:rFonts w:hint="eastAsia" w:ascii="仿宋" w:hAnsi="仿宋" w:eastAsia="仿宋" w:cs="仿宋"/>
                <w:sz w:val="21"/>
                <w:szCs w:val="21"/>
                <w:highlight w:val="none"/>
                <w:lang w:val="en-US" w:eastAsia="zh-CN"/>
              </w:rPr>
              <w:t>：</w:t>
            </w:r>
            <w:r>
              <w:rPr>
                <w:rFonts w:hint="eastAsia" w:ascii="仿宋" w:hAnsi="仿宋" w:eastAsia="仿宋" w:cs="仿宋"/>
                <w:sz w:val="21"/>
                <w:szCs w:val="21"/>
                <w:highlight w:val="none"/>
                <w:lang w:val="en-US" w:eastAsia="zh-CN"/>
              </w:rPr>
              <w:tab/>
            </w:r>
            <w:r>
              <w:rPr>
                <w:rFonts w:hint="eastAsia" w:ascii="仿宋" w:hAnsi="仿宋" w:eastAsia="仿宋" w:cs="仿宋"/>
                <w:sz w:val="21"/>
                <w:szCs w:val="21"/>
                <w:highlight w:val="none"/>
                <w:lang w:val="en-US" w:eastAsia="zh-CN"/>
              </w:rPr>
              <w:t>处理器四核主频1.8GHz，操作系统Android7.1，存储器2G+16G，支持扩展最大64GTF卡，10.1英寸液晶屏，分辨率1280*800，支持多点触控，WiFi，蓝牙3.0，以太网，支持摄像头，指纹采集，外部接口支持USB</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8.交换机</w:t>
            </w:r>
            <w:r>
              <w:rPr>
                <w:rFonts w:hint="eastAsia" w:ascii="仿宋" w:hAnsi="仿宋" w:eastAsia="仿宋" w:cs="仿宋"/>
                <w:b/>
                <w:bCs/>
                <w:sz w:val="21"/>
                <w:szCs w:val="21"/>
                <w:highlight w:val="none"/>
                <w:lang w:val="en-US" w:eastAsia="zh-CN"/>
              </w:rPr>
              <w:t>（1台）</w:t>
            </w:r>
            <w:r>
              <w:rPr>
                <w:rFonts w:hint="eastAsia" w:ascii="仿宋" w:hAnsi="仿宋" w:eastAsia="仿宋" w:cs="仿宋"/>
                <w:sz w:val="21"/>
                <w:szCs w:val="21"/>
                <w:highlight w:val="none"/>
                <w:lang w:val="en-US" w:eastAsia="zh-CN"/>
              </w:rPr>
              <w:t>：</w:t>
            </w:r>
            <w:r>
              <w:rPr>
                <w:rFonts w:hint="eastAsia" w:ascii="仿宋" w:hAnsi="仿宋" w:eastAsia="仿宋" w:cs="仿宋"/>
                <w:sz w:val="21"/>
                <w:szCs w:val="21"/>
                <w:highlight w:val="none"/>
                <w:lang w:val="en-US" w:eastAsia="zh-CN"/>
              </w:rPr>
              <w:tab/>
            </w:r>
            <w:r>
              <w:rPr>
                <w:rFonts w:hint="eastAsia" w:ascii="仿宋" w:hAnsi="仿宋" w:eastAsia="仿宋" w:cs="仿宋"/>
                <w:sz w:val="21"/>
                <w:szCs w:val="21"/>
                <w:highlight w:val="none"/>
                <w:lang w:val="en-US" w:eastAsia="zh-CN"/>
              </w:rPr>
              <w:t>接口数目24个接口；交换机类型：千兆网络；传输速度：1000Mbps；</w:t>
            </w:r>
          </w:p>
          <w:p>
            <w:pP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9.登记台扫码器</w:t>
            </w:r>
            <w:r>
              <w:rPr>
                <w:rFonts w:hint="eastAsia" w:ascii="仿宋" w:hAnsi="仿宋" w:eastAsia="仿宋" w:cs="仿宋"/>
                <w:b/>
                <w:bCs/>
                <w:sz w:val="21"/>
                <w:szCs w:val="21"/>
                <w:highlight w:val="none"/>
                <w:lang w:val="en-US" w:eastAsia="zh-CN"/>
              </w:rPr>
              <w:t>（2台）</w:t>
            </w:r>
            <w:r>
              <w:rPr>
                <w:rFonts w:hint="eastAsia" w:ascii="仿宋" w:hAnsi="仿宋" w:eastAsia="仿宋" w:cs="仿宋"/>
                <w:sz w:val="21"/>
                <w:szCs w:val="21"/>
                <w:highlight w:val="none"/>
                <w:lang w:val="en-US" w:eastAsia="zh-CN"/>
              </w:rPr>
              <w:t>：</w:t>
            </w:r>
            <w:r>
              <w:rPr>
                <w:rFonts w:hint="eastAsia" w:ascii="仿宋" w:hAnsi="仿宋" w:eastAsia="仿宋" w:cs="仿宋"/>
                <w:color w:val="FF0000"/>
                <w:sz w:val="21"/>
                <w:szCs w:val="21"/>
                <w:highlight w:val="none"/>
                <w:lang w:val="en-US" w:eastAsia="zh-CN"/>
              </w:rPr>
              <w:tab/>
            </w:r>
            <w:r>
              <w:rPr>
                <w:rFonts w:hint="eastAsia" w:ascii="仿宋" w:hAnsi="仿宋" w:eastAsia="仿宋" w:cs="仿宋"/>
                <w:sz w:val="21"/>
                <w:szCs w:val="21"/>
                <w:highlight w:val="none"/>
                <w:lang w:val="en-US" w:eastAsia="zh-CN"/>
              </w:rPr>
              <w:t>有线扫码器，支持二维码、条形码识别</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10.路由器</w:t>
            </w:r>
            <w:r>
              <w:rPr>
                <w:rFonts w:hint="eastAsia" w:ascii="仿宋" w:hAnsi="仿宋" w:eastAsia="仿宋" w:cs="仿宋"/>
                <w:b/>
                <w:bCs/>
                <w:sz w:val="21"/>
                <w:szCs w:val="21"/>
                <w:highlight w:val="none"/>
                <w:lang w:val="en-US" w:eastAsia="zh-CN"/>
              </w:rPr>
              <w:t>（1台）</w:t>
            </w:r>
            <w:r>
              <w:rPr>
                <w:rFonts w:hint="eastAsia" w:ascii="仿宋" w:hAnsi="仿宋" w:eastAsia="仿宋" w:cs="仿宋"/>
                <w:sz w:val="21"/>
                <w:szCs w:val="21"/>
                <w:highlight w:val="none"/>
                <w:lang w:val="en-US" w:eastAsia="zh-CN"/>
              </w:rPr>
              <w:t>：</w:t>
            </w:r>
            <w:r>
              <w:rPr>
                <w:rFonts w:hint="eastAsia" w:ascii="仿宋" w:hAnsi="仿宋" w:eastAsia="仿宋" w:cs="仿宋"/>
                <w:sz w:val="21"/>
                <w:szCs w:val="21"/>
                <w:highlight w:val="none"/>
                <w:lang w:val="en-US" w:eastAsia="zh-CN"/>
              </w:rPr>
              <w:tab/>
            </w:r>
            <w:r>
              <w:rPr>
                <w:rFonts w:hint="eastAsia" w:ascii="仿宋" w:hAnsi="仿宋" w:eastAsia="仿宋" w:cs="仿宋"/>
                <w:sz w:val="21"/>
                <w:szCs w:val="21"/>
                <w:highlight w:val="none"/>
                <w:lang w:val="en-US" w:eastAsia="zh-CN"/>
              </w:rPr>
              <w:t>有线传输率千兆端口；无线传输速率2600Mbps及以上；无线网络支持频率2.4G&amp;5G；专业路由 ；无线传输速度2533Mbps及以上；</w:t>
            </w:r>
          </w:p>
          <w:p>
            <w:pP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11.安卓智能电视</w:t>
            </w:r>
            <w:r>
              <w:rPr>
                <w:rFonts w:hint="eastAsia" w:ascii="仿宋" w:hAnsi="仿宋" w:eastAsia="仿宋" w:cs="仿宋"/>
                <w:b/>
                <w:bCs/>
                <w:sz w:val="21"/>
                <w:szCs w:val="21"/>
                <w:highlight w:val="none"/>
                <w:lang w:val="en-US" w:eastAsia="zh-CN"/>
              </w:rPr>
              <w:t>（2台）：</w:t>
            </w:r>
            <w:r>
              <w:rPr>
                <w:rFonts w:hint="eastAsia" w:ascii="仿宋" w:hAnsi="仿宋" w:eastAsia="仿宋" w:cs="仿宋"/>
                <w:sz w:val="21"/>
                <w:szCs w:val="21"/>
                <w:highlight w:val="none"/>
                <w:lang w:val="en-US" w:eastAsia="zh-CN"/>
              </w:rPr>
              <w:tab/>
            </w:r>
            <w:r>
              <w:rPr>
                <w:rFonts w:hint="eastAsia" w:ascii="仿宋" w:hAnsi="仿宋" w:eastAsia="仿宋" w:cs="仿宋"/>
                <w:sz w:val="21"/>
                <w:szCs w:val="21"/>
                <w:highlight w:val="none"/>
                <w:lang w:val="en-US" w:eastAsia="zh-CN"/>
              </w:rPr>
              <w:t>55寸（取号、留观大屏）</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12.安卓智能电视</w:t>
            </w:r>
            <w:r>
              <w:rPr>
                <w:rFonts w:hint="eastAsia" w:ascii="仿宋" w:hAnsi="仿宋" w:eastAsia="仿宋" w:cs="仿宋"/>
                <w:b/>
                <w:bCs/>
                <w:sz w:val="21"/>
                <w:szCs w:val="21"/>
                <w:highlight w:val="none"/>
                <w:lang w:val="en-US" w:eastAsia="zh-CN"/>
              </w:rPr>
              <w:t>（4台）：</w:t>
            </w:r>
            <w:r>
              <w:rPr>
                <w:rFonts w:hint="eastAsia" w:ascii="仿宋" w:hAnsi="仿宋" w:eastAsia="仿宋" w:cs="仿宋"/>
                <w:sz w:val="21"/>
                <w:szCs w:val="21"/>
                <w:highlight w:val="none"/>
                <w:lang w:val="en-US" w:eastAsia="zh-CN"/>
              </w:rPr>
              <w:tab/>
            </w:r>
            <w:r>
              <w:rPr>
                <w:rFonts w:hint="eastAsia" w:ascii="仿宋" w:hAnsi="仿宋" w:eastAsia="仿宋" w:cs="仿宋"/>
                <w:sz w:val="21"/>
                <w:szCs w:val="21"/>
                <w:highlight w:val="none"/>
                <w:lang w:val="en-US" w:eastAsia="zh-CN"/>
              </w:rPr>
              <w:t>32寸（登记、接种小屏）</w:t>
            </w:r>
          </w:p>
          <w:p>
            <w:pP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13.液晶控制盒</w:t>
            </w:r>
            <w:r>
              <w:rPr>
                <w:rFonts w:hint="eastAsia" w:ascii="仿宋" w:hAnsi="仿宋" w:eastAsia="仿宋" w:cs="仿宋"/>
                <w:b/>
                <w:bCs/>
                <w:sz w:val="21"/>
                <w:szCs w:val="21"/>
                <w:highlight w:val="none"/>
                <w:lang w:val="en-US" w:eastAsia="zh-CN"/>
              </w:rPr>
              <w:t>（6台）：</w:t>
            </w:r>
            <w:r>
              <w:rPr>
                <w:rFonts w:hint="eastAsia" w:ascii="仿宋" w:hAnsi="仿宋" w:eastAsia="仿宋" w:cs="仿宋"/>
                <w:sz w:val="21"/>
                <w:szCs w:val="21"/>
                <w:highlight w:val="none"/>
                <w:lang w:val="en-US" w:eastAsia="zh-CN"/>
              </w:rPr>
              <w:tab/>
            </w:r>
            <w:r>
              <w:rPr>
                <w:rFonts w:hint="eastAsia" w:ascii="仿宋" w:hAnsi="仿宋" w:eastAsia="仿宋" w:cs="仿宋"/>
                <w:sz w:val="21"/>
                <w:szCs w:val="21"/>
                <w:highlight w:val="none"/>
                <w:lang w:val="en-US" w:eastAsia="zh-CN"/>
              </w:rPr>
              <w:t>双核 1.6G/DDR3  1G内存/8G固态硬盘/ 2.4GWiFi， DC 5V/2A电源，支持HDMI输出，支持软件开机自启</w:t>
            </w:r>
          </w:p>
          <w:p>
            <w:pPr>
              <w:pStyle w:val="6"/>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14.数字化接种门诊软件</w:t>
            </w:r>
            <w:r>
              <w:rPr>
                <w:rFonts w:hint="eastAsia" w:ascii="仿宋" w:hAnsi="仿宋" w:eastAsia="仿宋" w:cs="仿宋"/>
                <w:b/>
                <w:bCs/>
                <w:sz w:val="21"/>
                <w:szCs w:val="21"/>
                <w:highlight w:val="none"/>
                <w:lang w:val="en-US" w:eastAsia="zh-CN"/>
              </w:rPr>
              <w:t>（1套）：</w:t>
            </w:r>
            <w:r>
              <w:rPr>
                <w:rFonts w:hint="eastAsia" w:ascii="仿宋" w:hAnsi="仿宋" w:eastAsia="仿宋" w:cs="仿宋"/>
                <w:sz w:val="21"/>
                <w:szCs w:val="21"/>
                <w:highlight w:val="none"/>
                <w:lang w:val="en-US" w:eastAsia="zh-CN"/>
              </w:rPr>
              <w:tab/>
            </w:r>
            <w:r>
              <w:rPr>
                <w:rFonts w:hint="eastAsia" w:ascii="仿宋" w:hAnsi="仿宋" w:eastAsia="仿宋" w:cs="仿宋"/>
                <w:sz w:val="21"/>
                <w:szCs w:val="21"/>
                <w:highlight w:val="none"/>
                <w:lang w:val="en-US" w:eastAsia="zh-CN"/>
              </w:rPr>
              <w:t>排队叫号系统、语音播报控制系统、留观服务系统、多媒体显示系统等；</w:t>
            </w:r>
          </w:p>
          <w:p>
            <w:pP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15.VIMS软件招标参数（含对接费）</w:t>
            </w:r>
            <w:r>
              <w:rPr>
                <w:rFonts w:hint="eastAsia" w:ascii="仿宋" w:hAnsi="仿宋" w:eastAsia="仿宋" w:cs="仿宋"/>
                <w:b/>
                <w:bCs/>
                <w:sz w:val="21"/>
                <w:szCs w:val="21"/>
                <w:highlight w:val="none"/>
                <w:lang w:val="en-US" w:eastAsia="zh-CN"/>
              </w:rPr>
              <w:t>（1套）</w:t>
            </w:r>
          </w:p>
          <w:p>
            <w:pP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ab/>
            </w:r>
            <w:r>
              <w:rPr>
                <w:rFonts w:hint="eastAsia" w:ascii="仿宋" w:hAnsi="仿宋" w:eastAsia="仿宋" w:cs="仿宋"/>
                <w:sz w:val="21"/>
                <w:szCs w:val="21"/>
                <w:highlight w:val="none"/>
                <w:lang w:val="en-US" w:eastAsia="zh-CN"/>
              </w:rPr>
              <w:t>*1、仓储管理，出入库管理简洁，可实现包括疫苗的出库、入库、盘点等管理，可对疫苗的厂家、批次、效期等进行管理</w:t>
            </w:r>
            <w:r>
              <w:rPr>
                <w:rFonts w:hint="eastAsia" w:ascii="仿宋" w:hAnsi="仿宋" w:eastAsia="仿宋" w:cs="仿宋"/>
                <w:sz w:val="21"/>
                <w:szCs w:val="21"/>
                <w:highlight w:val="none"/>
                <w:lang w:val="en-US" w:eastAsia="zh-CN"/>
              </w:rPr>
              <w:tab/>
            </w:r>
          </w:p>
          <w:p>
            <w:pP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2、身份识别功能：配备密码及指纹等身份识别功能，可追溯使用者，也可规避风险</w:t>
            </w:r>
          </w:p>
          <w:p>
            <w:pP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*3、数据及网络功能：精准出入库数据管理、智能的接种台终端，可与登记叫号系统、疾控中心系统无缝对接</w:t>
            </w:r>
          </w:p>
          <w:p>
            <w:pP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*4、疫苗的信息追溯：疫苗厂家、批次、温度、接种部位、电子监管码等信息的记录与追溯</w:t>
            </w:r>
          </w:p>
          <w:p>
            <w:pP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*5、支持条码扫描，可以扫描一维码、二维码扫描，扫描速度快</w:t>
            </w:r>
          </w:p>
          <w:p>
            <w:pP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*6、集成疫苗出入库管理系统和冷链监控系统，完成疫苗可追溯的过程管理</w:t>
            </w:r>
          </w:p>
          <w:p>
            <w:pP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7、可实现疫苗接种的叫号管理</w:t>
            </w:r>
          </w:p>
          <w:p>
            <w:pP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8、多种联网方式，带有WIFI、RJ45、SIM卡三种联网方式</w:t>
            </w:r>
          </w:p>
          <w:p>
            <w:pP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*9、储品报警系统：疫苗存量警戒值报警、疫苗有效期报警；</w:t>
            </w:r>
          </w:p>
          <w:p>
            <w:pP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*10、疫苗接种管理：扫描儿童信息自动弹出接种疫苗；扫描疫苗码自动核对疫苗信息；有效减少接种取苗</w:t>
            </w:r>
          </w:p>
          <w:p>
            <w:pP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差错；</w:t>
            </w:r>
          </w:p>
          <w:p>
            <w:pP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*11、物联网技术软件应与</w:t>
            </w:r>
            <w:r>
              <w:rPr>
                <w:rFonts w:hint="eastAsia" w:ascii="仿宋" w:hAnsi="仿宋" w:eastAsia="仿宋" w:cs="仿宋"/>
                <w:color w:val="auto"/>
                <w:sz w:val="21"/>
                <w:szCs w:val="21"/>
                <w:highlight w:val="none"/>
                <w:lang w:val="en-US" w:eastAsia="zh-CN"/>
              </w:rPr>
              <w:t>项对应品牌硬件设备配套</w:t>
            </w:r>
            <w:r>
              <w:rPr>
                <w:rFonts w:hint="eastAsia" w:ascii="仿宋" w:hAnsi="仿宋" w:eastAsia="仿宋" w:cs="仿宋"/>
                <w:sz w:val="21"/>
                <w:szCs w:val="21"/>
                <w:highlight w:val="none"/>
                <w:lang w:val="en-US" w:eastAsia="zh-CN"/>
              </w:rPr>
              <w:t>设施使用，达到使用的流畅和兼容性。</w:t>
            </w: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3套</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8</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中央空调（含室外电缆）</w:t>
            </w:r>
            <w:r>
              <w:rPr>
                <w:rFonts w:hint="eastAsia" w:ascii="仿宋" w:hAnsi="仿宋" w:eastAsia="仿宋" w:cs="仿宋"/>
                <w:i w:val="0"/>
                <w:iCs w:val="0"/>
                <w:color w:val="000000"/>
                <w:sz w:val="21"/>
                <w:szCs w:val="21"/>
                <w:highlight w:val="none"/>
                <w:u w:val="none"/>
              </w:rPr>
              <w:tab/>
            </w:r>
          </w:p>
        </w:tc>
        <w:tc>
          <w:tcPr>
            <w:tcW w:w="8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6"/>
              <w:numPr>
                <w:ilvl w:val="0"/>
                <w:numId w:val="10"/>
              </w:numP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幸福社区</w:t>
            </w:r>
          </w:p>
          <w:tbl>
            <w:tblPr>
              <w:tblStyle w:val="24"/>
              <w:tblpPr w:leftFromText="180" w:rightFromText="180" w:vertAnchor="text" w:horzAnchor="page" w:tblpX="163" w:tblpY="362"/>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6"/>
              <w:gridCol w:w="636"/>
              <w:gridCol w:w="1896"/>
              <w:gridCol w:w="636"/>
              <w:gridCol w:w="16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序号</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楼层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设备名</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数量</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一层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10</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一层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6</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二层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6</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二层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12</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二层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6</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二层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i w:val="0"/>
                      <w:iCs w:val="0"/>
                      <w:color w:val="000000"/>
                      <w:sz w:val="21"/>
                      <w:szCs w:val="21"/>
                      <w:highlight w:val="none"/>
                      <w:u w:val="none"/>
                    </w:rPr>
                  </w:pP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全直流变频室外机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8</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三层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9</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9</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三层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10</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四层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11</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四层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18</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12</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四层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13</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i w:val="0"/>
                      <w:iCs w:val="0"/>
                      <w:color w:val="000000"/>
                      <w:sz w:val="21"/>
                      <w:szCs w:val="21"/>
                      <w:highlight w:val="none"/>
                      <w:u w:val="none"/>
                    </w:rPr>
                  </w:pP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全直流变频室外机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14</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五层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15</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五层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16</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五层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10</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17</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六层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18</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六层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19</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六层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20</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六层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21</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i w:val="0"/>
                      <w:iCs w:val="0"/>
                      <w:color w:val="000000"/>
                      <w:sz w:val="21"/>
                      <w:szCs w:val="21"/>
                      <w:highlight w:val="none"/>
                      <w:u w:val="none"/>
                    </w:rPr>
                  </w:pP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全直流变频室外机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22</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i w:val="0"/>
                      <w:iCs w:val="0"/>
                      <w:color w:val="000000"/>
                      <w:sz w:val="21"/>
                      <w:szCs w:val="21"/>
                      <w:highlight w:val="none"/>
                      <w:u w:val="none"/>
                    </w:rPr>
                  </w:pP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有线控制器</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111</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bl>
          <w:p>
            <w:pPr>
              <w:numPr>
                <w:ilvl w:val="0"/>
                <w:numId w:val="0"/>
              </w:numPr>
              <w:bidi w:val="0"/>
              <w:ind w:left="420" w:leftChars="0"/>
              <w:rPr>
                <w:rFonts w:hint="eastAsia" w:ascii="仿宋" w:hAnsi="仿宋" w:eastAsia="仿宋" w:cs="仿宋"/>
                <w:color w:val="000000"/>
                <w:sz w:val="21"/>
                <w:szCs w:val="21"/>
                <w:highlight w:val="none"/>
                <w:lang w:val="en-US" w:eastAsia="zh-CN"/>
              </w:rPr>
            </w:pPr>
          </w:p>
          <w:p>
            <w:pPr>
              <w:numPr>
                <w:ilvl w:val="0"/>
                <w:numId w:val="0"/>
              </w:numPr>
              <w:bidi w:val="0"/>
              <w:ind w:left="420" w:leftChars="0"/>
              <w:rPr>
                <w:rFonts w:hint="eastAsia" w:ascii="仿宋" w:hAnsi="仿宋" w:eastAsia="仿宋" w:cs="仿宋"/>
                <w:color w:val="000000"/>
                <w:sz w:val="21"/>
                <w:szCs w:val="21"/>
                <w:highlight w:val="none"/>
                <w:lang w:val="en-US" w:eastAsia="zh-CN"/>
              </w:rPr>
            </w:pPr>
          </w:p>
          <w:p>
            <w:pPr>
              <w:numPr>
                <w:ilvl w:val="0"/>
                <w:numId w:val="0"/>
              </w:numPr>
              <w:bidi w:val="0"/>
              <w:ind w:left="420" w:leftChars="0"/>
              <w:rPr>
                <w:rFonts w:hint="eastAsia" w:ascii="仿宋" w:hAnsi="仿宋" w:eastAsia="仿宋" w:cs="仿宋"/>
                <w:color w:val="000000"/>
                <w:sz w:val="21"/>
                <w:szCs w:val="21"/>
                <w:highlight w:val="none"/>
                <w:lang w:val="en-US" w:eastAsia="zh-CN"/>
              </w:rPr>
            </w:pPr>
          </w:p>
          <w:p>
            <w:pPr>
              <w:numPr>
                <w:ilvl w:val="0"/>
                <w:numId w:val="0"/>
              </w:numPr>
              <w:bidi w:val="0"/>
              <w:ind w:left="420" w:leftChars="0"/>
              <w:rPr>
                <w:rFonts w:hint="eastAsia" w:ascii="仿宋" w:hAnsi="仿宋" w:eastAsia="仿宋" w:cs="仿宋"/>
                <w:color w:val="000000"/>
                <w:sz w:val="21"/>
                <w:szCs w:val="21"/>
                <w:highlight w:val="none"/>
                <w:lang w:val="en-US" w:eastAsia="zh-CN"/>
              </w:rPr>
            </w:pPr>
          </w:p>
          <w:p>
            <w:pPr>
              <w:numPr>
                <w:ilvl w:val="0"/>
                <w:numId w:val="0"/>
              </w:numPr>
              <w:bidi w:val="0"/>
              <w:ind w:left="420" w:leftChars="0"/>
              <w:rPr>
                <w:rFonts w:hint="eastAsia" w:ascii="仿宋" w:hAnsi="仿宋" w:eastAsia="仿宋" w:cs="仿宋"/>
                <w:color w:val="000000"/>
                <w:sz w:val="21"/>
                <w:szCs w:val="21"/>
                <w:highlight w:val="none"/>
                <w:lang w:val="en-US" w:eastAsia="zh-CN"/>
              </w:rPr>
            </w:pPr>
          </w:p>
          <w:p>
            <w:pPr>
              <w:numPr>
                <w:ilvl w:val="0"/>
                <w:numId w:val="0"/>
              </w:numPr>
              <w:bidi w:val="0"/>
              <w:ind w:left="420" w:leftChars="0"/>
              <w:rPr>
                <w:rFonts w:hint="eastAsia" w:ascii="仿宋" w:hAnsi="仿宋" w:eastAsia="仿宋" w:cs="仿宋"/>
                <w:color w:val="000000"/>
                <w:sz w:val="21"/>
                <w:szCs w:val="21"/>
                <w:highlight w:val="none"/>
                <w:lang w:val="en-US" w:eastAsia="zh-CN"/>
              </w:rPr>
            </w:pPr>
          </w:p>
          <w:p>
            <w:pPr>
              <w:numPr>
                <w:ilvl w:val="0"/>
                <w:numId w:val="0"/>
              </w:numPr>
              <w:bidi w:val="0"/>
              <w:ind w:left="420" w:leftChars="0"/>
              <w:rPr>
                <w:rFonts w:hint="eastAsia" w:ascii="仿宋" w:hAnsi="仿宋" w:eastAsia="仿宋" w:cs="仿宋"/>
                <w:color w:val="000000"/>
                <w:sz w:val="21"/>
                <w:szCs w:val="21"/>
                <w:highlight w:val="none"/>
                <w:lang w:val="en-US" w:eastAsia="zh-CN"/>
              </w:rPr>
            </w:pPr>
          </w:p>
          <w:p>
            <w:pPr>
              <w:numPr>
                <w:ilvl w:val="0"/>
                <w:numId w:val="0"/>
              </w:numPr>
              <w:bidi w:val="0"/>
              <w:ind w:left="420" w:leftChars="0"/>
              <w:rPr>
                <w:rFonts w:hint="eastAsia" w:ascii="仿宋" w:hAnsi="仿宋" w:eastAsia="仿宋" w:cs="仿宋"/>
                <w:color w:val="000000"/>
                <w:sz w:val="21"/>
                <w:szCs w:val="21"/>
                <w:highlight w:val="none"/>
                <w:lang w:val="en-US" w:eastAsia="zh-CN"/>
              </w:rPr>
            </w:pPr>
          </w:p>
          <w:p>
            <w:pPr>
              <w:numPr>
                <w:ilvl w:val="0"/>
                <w:numId w:val="0"/>
              </w:numPr>
              <w:bidi w:val="0"/>
              <w:ind w:left="420" w:leftChars="0"/>
              <w:rPr>
                <w:rFonts w:hint="eastAsia" w:ascii="仿宋" w:hAnsi="仿宋" w:eastAsia="仿宋" w:cs="仿宋"/>
                <w:color w:val="000000"/>
                <w:sz w:val="21"/>
                <w:szCs w:val="21"/>
                <w:highlight w:val="none"/>
                <w:lang w:val="en-US" w:eastAsia="zh-CN"/>
              </w:rPr>
            </w:pPr>
          </w:p>
          <w:p>
            <w:pPr>
              <w:numPr>
                <w:ilvl w:val="0"/>
                <w:numId w:val="0"/>
              </w:numPr>
              <w:bidi w:val="0"/>
              <w:ind w:left="420" w:leftChars="0"/>
              <w:rPr>
                <w:rFonts w:hint="eastAsia" w:ascii="仿宋" w:hAnsi="仿宋" w:eastAsia="仿宋" w:cs="仿宋"/>
                <w:color w:val="000000"/>
                <w:sz w:val="21"/>
                <w:szCs w:val="21"/>
                <w:highlight w:val="none"/>
                <w:lang w:val="en-US" w:eastAsia="zh-CN"/>
              </w:rPr>
            </w:pPr>
          </w:p>
          <w:p>
            <w:pPr>
              <w:numPr>
                <w:ilvl w:val="0"/>
                <w:numId w:val="0"/>
              </w:numPr>
              <w:bidi w:val="0"/>
              <w:ind w:left="420" w:leftChars="0"/>
              <w:rPr>
                <w:rFonts w:hint="eastAsia" w:ascii="仿宋" w:hAnsi="仿宋" w:eastAsia="仿宋" w:cs="仿宋"/>
                <w:color w:val="000000"/>
                <w:sz w:val="21"/>
                <w:szCs w:val="21"/>
                <w:highlight w:val="none"/>
                <w:lang w:val="en-US" w:eastAsia="zh-CN"/>
              </w:rPr>
            </w:pPr>
          </w:p>
          <w:p>
            <w:pPr>
              <w:numPr>
                <w:ilvl w:val="0"/>
                <w:numId w:val="0"/>
              </w:numPr>
              <w:bidi w:val="0"/>
              <w:ind w:left="420" w:leftChars="0"/>
              <w:rPr>
                <w:rFonts w:hint="eastAsia" w:ascii="仿宋" w:hAnsi="仿宋" w:eastAsia="仿宋" w:cs="仿宋"/>
                <w:color w:val="000000"/>
                <w:sz w:val="21"/>
                <w:szCs w:val="21"/>
                <w:highlight w:val="none"/>
                <w:lang w:val="en-US" w:eastAsia="zh-CN"/>
              </w:rPr>
            </w:pPr>
          </w:p>
          <w:p>
            <w:pPr>
              <w:numPr>
                <w:ilvl w:val="0"/>
                <w:numId w:val="0"/>
              </w:numPr>
              <w:bidi w:val="0"/>
              <w:ind w:left="420" w:leftChars="0"/>
              <w:rPr>
                <w:rFonts w:hint="eastAsia" w:ascii="仿宋" w:hAnsi="仿宋" w:eastAsia="仿宋" w:cs="仿宋"/>
                <w:color w:val="000000"/>
                <w:sz w:val="21"/>
                <w:szCs w:val="21"/>
                <w:highlight w:val="none"/>
                <w:lang w:val="en-US" w:eastAsia="zh-CN"/>
              </w:rPr>
            </w:pPr>
          </w:p>
          <w:p>
            <w:pPr>
              <w:numPr>
                <w:ilvl w:val="0"/>
                <w:numId w:val="0"/>
              </w:numPr>
              <w:bidi w:val="0"/>
              <w:ind w:left="420" w:leftChars="0"/>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二.新城社区</w:t>
            </w:r>
          </w:p>
          <w:tbl>
            <w:tblPr>
              <w:tblStyle w:val="2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6"/>
              <w:gridCol w:w="636"/>
              <w:gridCol w:w="1896"/>
              <w:gridCol w:w="636"/>
              <w:gridCol w:w="16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序号</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楼层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设备名</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数量</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一层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9</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一层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6</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二层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二层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14</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8</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二层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12</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i w:val="0"/>
                      <w:iCs w:val="0"/>
                      <w:color w:val="000000"/>
                      <w:sz w:val="21"/>
                      <w:szCs w:val="21"/>
                      <w:highlight w:val="none"/>
                      <w:u w:val="none"/>
                    </w:rPr>
                  </w:pP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全直流变频室外机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13</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i w:val="0"/>
                      <w:iCs w:val="0"/>
                      <w:color w:val="000000"/>
                      <w:sz w:val="21"/>
                      <w:szCs w:val="21"/>
                      <w:highlight w:val="none"/>
                      <w:u w:val="none"/>
                    </w:rPr>
                  </w:pP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有线控制器</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37</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bl>
          <w:p>
            <w:pPr>
              <w:pStyle w:val="6"/>
              <w:widowControl w:val="0"/>
              <w:numPr>
                <w:ilvl w:val="0"/>
                <w:numId w:val="0"/>
              </w:numPr>
              <w:adjustRightInd w:val="0"/>
              <w:spacing w:line="312" w:lineRule="atLeast"/>
              <w:jc w:val="both"/>
              <w:textAlignment w:val="baseline"/>
              <w:rPr>
                <w:rFonts w:hint="eastAsia" w:ascii="仿宋" w:hAnsi="仿宋" w:eastAsia="仿宋" w:cs="仿宋"/>
                <w:sz w:val="21"/>
                <w:szCs w:val="21"/>
                <w:highlight w:val="none"/>
                <w:lang w:val="en-US" w:eastAsia="zh-CN"/>
              </w:rPr>
            </w:pPr>
          </w:p>
          <w:p>
            <w:pPr>
              <w:numPr>
                <w:ilvl w:val="0"/>
                <w:numId w:val="0"/>
              </w:numPr>
              <w:ind w:leftChars="0"/>
              <w:rPr>
                <w:rFonts w:hint="eastAsia" w:ascii="仿宋" w:hAnsi="仿宋" w:eastAsia="仿宋" w:cs="仿宋"/>
                <w:color w:val="000000"/>
                <w:sz w:val="21"/>
                <w:szCs w:val="21"/>
                <w:highlight w:val="none"/>
                <w:lang w:val="en-US" w:eastAsia="zh-CN"/>
              </w:rPr>
            </w:pPr>
            <w:r>
              <w:rPr>
                <w:rFonts w:hint="eastAsia" w:ascii="仿宋" w:hAnsi="仿宋" w:eastAsia="仿宋" w:cs="仿宋"/>
                <w:sz w:val="21"/>
                <w:szCs w:val="21"/>
                <w:highlight w:val="none"/>
                <w:lang w:val="en-US" w:eastAsia="zh-CN"/>
              </w:rPr>
              <w:t>三.</w:t>
            </w:r>
            <w:r>
              <w:rPr>
                <w:rFonts w:hint="eastAsia" w:ascii="仿宋" w:hAnsi="仿宋" w:eastAsia="仿宋" w:cs="仿宋"/>
                <w:color w:val="000000"/>
                <w:sz w:val="21"/>
                <w:szCs w:val="21"/>
                <w:highlight w:val="none"/>
                <w:lang w:val="en-US" w:eastAsia="zh-CN"/>
              </w:rPr>
              <w:t>光明社区</w:t>
            </w:r>
          </w:p>
          <w:tbl>
            <w:tblPr>
              <w:tblStyle w:val="2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6"/>
              <w:gridCol w:w="636"/>
              <w:gridCol w:w="1896"/>
              <w:gridCol w:w="636"/>
              <w:gridCol w:w="16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序号</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楼层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设备名</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数量</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一层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一层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二层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9</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二层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6</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i w:val="0"/>
                      <w:iCs w:val="0"/>
                      <w:color w:val="000000"/>
                      <w:sz w:val="21"/>
                      <w:szCs w:val="21"/>
                      <w:highlight w:val="none"/>
                      <w:u w:val="none"/>
                    </w:rPr>
                  </w:pP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全直流变频室外机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6</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三层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三层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9</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8</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三层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9</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四层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6</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10</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四层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10</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11</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四层</w:t>
                  </w: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低静压风管机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12</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i w:val="0"/>
                      <w:iCs w:val="0"/>
                      <w:color w:val="000000"/>
                      <w:sz w:val="21"/>
                      <w:szCs w:val="21"/>
                      <w:highlight w:val="none"/>
                      <w:u w:val="none"/>
                    </w:rPr>
                  </w:pP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全直流变频室外机</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13</w:t>
                  </w:r>
                </w:p>
              </w:tc>
              <w:tc>
                <w:tcPr>
                  <w:tcW w:w="63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i w:val="0"/>
                      <w:iCs w:val="0"/>
                      <w:color w:val="000000"/>
                      <w:sz w:val="21"/>
                      <w:szCs w:val="21"/>
                      <w:highlight w:val="none"/>
                      <w:u w:val="none"/>
                    </w:rPr>
                  </w:pPr>
                </w:p>
              </w:tc>
              <w:tc>
                <w:tcPr>
                  <w:tcW w:w="18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有线控制器</w:t>
                  </w:r>
                </w:p>
              </w:tc>
              <w:tc>
                <w:tcPr>
                  <w:tcW w:w="636"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57</w:t>
                  </w:r>
                </w:p>
              </w:tc>
              <w:tc>
                <w:tcPr>
                  <w:tcW w:w="1686"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含安装和材料费</w:t>
                  </w:r>
                </w:p>
              </w:tc>
            </w:tr>
          </w:tbl>
          <w:p>
            <w:pPr>
              <w:autoSpaceDE w:val="0"/>
              <w:autoSpaceDN w:val="0"/>
              <w:adjustRightInd w:val="0"/>
              <w:spacing w:line="360" w:lineRule="auto"/>
              <w:jc w:val="left"/>
              <w:rPr>
                <w:rFonts w:hint="eastAsia" w:ascii="仿宋" w:hAnsi="仿宋" w:eastAsia="仿宋" w:cs="仿宋"/>
                <w:i w:val="0"/>
                <w:iCs w:val="0"/>
                <w:color w:val="000000"/>
                <w:sz w:val="21"/>
                <w:szCs w:val="21"/>
                <w:highlight w:val="none"/>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3套</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含安装和材料费</w:t>
            </w:r>
          </w:p>
        </w:tc>
      </w:tr>
    </w:tbl>
    <w:p>
      <w:pPr>
        <w:rPr>
          <w:rFonts w:hint="eastAsia"/>
          <w:highlight w:val="none"/>
        </w:rPr>
      </w:pPr>
    </w:p>
    <w:p>
      <w:pPr>
        <w:pStyle w:val="2"/>
        <w:rPr>
          <w:rFonts w:hint="eastAsia" w:eastAsia="宋体"/>
          <w:b/>
          <w:bCs/>
          <w:sz w:val="32"/>
          <w:szCs w:val="32"/>
          <w:highlight w:val="none"/>
          <w:lang w:eastAsia="zh-CN"/>
        </w:rPr>
        <w:sectPr>
          <w:headerReference r:id="rId9" w:type="default"/>
          <w:footerReference r:id="rId10" w:type="default"/>
          <w:pgSz w:w="16838" w:h="11905" w:orient="landscape"/>
          <w:pgMar w:top="1417" w:right="1440" w:bottom="1417" w:left="1440" w:header="850" w:footer="992" w:gutter="0"/>
          <w:pgNumType w:fmt="decimal"/>
          <w:cols w:space="0" w:num="1"/>
          <w:rtlGutter w:val="0"/>
          <w:docGrid w:type="linesAndChars" w:linePitch="335" w:charSpace="1057"/>
        </w:sectPr>
      </w:pPr>
      <w:r>
        <w:rPr>
          <w:rFonts w:hint="eastAsia"/>
          <w:b/>
          <w:bCs/>
          <w:sz w:val="32"/>
          <w:szCs w:val="32"/>
          <w:highlight w:val="none"/>
        </w:rPr>
        <w:t>若发现供应商所供产品与所投产品参数不符的，将上报监管部门并列入政府采购严重违法失信行为记录名单</w:t>
      </w:r>
      <w:r>
        <w:rPr>
          <w:rFonts w:hint="eastAsia"/>
          <w:b/>
          <w:bCs/>
          <w:sz w:val="32"/>
          <w:szCs w:val="32"/>
          <w:highlight w:val="none"/>
          <w:lang w:eastAsia="zh-CN"/>
        </w:rPr>
        <w:t>。</w:t>
      </w:r>
    </w:p>
    <w:p>
      <w:pPr>
        <w:spacing w:line="440" w:lineRule="exact"/>
        <w:jc w:val="left"/>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1.2包装要求</w:t>
      </w:r>
    </w:p>
    <w:p>
      <w:pPr>
        <w:shd w:val="clear" w:color="auto" w:fill="auto"/>
        <w:spacing w:line="264" w:lineRule="auto"/>
        <w:ind w:firstLine="490" w:firstLineChars="200"/>
        <w:outlineLvl w:val="9"/>
        <w:rPr>
          <w:rFonts w:hint="eastAsia" w:ascii="Times New Roman" w:hAnsi="Times New Roman" w:eastAsia="仿宋" w:cs="Times New Roman"/>
          <w:bCs/>
          <w:szCs w:val="21"/>
          <w:highlight w:val="none"/>
        </w:rPr>
      </w:pPr>
      <w:r>
        <w:rPr>
          <w:rFonts w:hint="eastAsia" w:ascii="Times New Roman" w:hAnsi="Times New Roman" w:eastAsia="仿宋" w:cs="Times New Roman"/>
          <w:bCs/>
          <w:szCs w:val="21"/>
          <w:highlight w:val="none"/>
        </w:rPr>
        <w:t>供方应提供货物服务运至合同规定的最终目的地所需要的包装，以防止货物在转运中损坏。这类包装应采取防潮、防晒、防锈、防腐蚀、防震动及防止其它损坏的必要保护措施，从而保护货物能够经受多次搬运、装卸和内陆的长途运输。供方应承担由于其包装或其防护措施不妥而引起货物锈蚀、损坏和丢失的任何损失的责任或费用。</w:t>
      </w:r>
    </w:p>
    <w:p>
      <w:pPr>
        <w:shd w:val="clear" w:color="auto" w:fill="auto"/>
        <w:spacing w:line="264" w:lineRule="auto"/>
        <w:outlineLvl w:val="9"/>
        <w:rPr>
          <w:rFonts w:hint="eastAsia" w:ascii="Times New Roman" w:hAnsi="Times New Roman" w:eastAsia="仿宋" w:cs="Times New Roman"/>
          <w:b/>
          <w:bCs w:val="0"/>
          <w:szCs w:val="21"/>
          <w:highlight w:val="none"/>
        </w:rPr>
      </w:pPr>
      <w:r>
        <w:rPr>
          <w:rFonts w:hint="eastAsia" w:ascii="Times New Roman" w:hAnsi="Times New Roman" w:eastAsia="仿宋" w:cs="Times New Roman"/>
          <w:b/>
          <w:bCs w:val="0"/>
          <w:szCs w:val="21"/>
          <w:highlight w:val="none"/>
        </w:rPr>
        <w:t>1.3项目商务要求</w:t>
      </w:r>
    </w:p>
    <w:p>
      <w:pPr>
        <w:shd w:val="clear" w:color="auto" w:fill="auto"/>
        <w:spacing w:line="264" w:lineRule="auto"/>
        <w:ind w:firstLine="490" w:firstLineChars="200"/>
        <w:outlineLvl w:val="9"/>
        <w:rPr>
          <w:rFonts w:hint="eastAsia" w:ascii="Times New Roman" w:hAnsi="Times New Roman" w:eastAsia="仿宋" w:cs="Times New Roman"/>
          <w:bCs/>
          <w:szCs w:val="21"/>
          <w:highlight w:val="none"/>
          <w:lang w:eastAsia="zh-CN"/>
        </w:rPr>
      </w:pPr>
      <w:r>
        <w:rPr>
          <w:rFonts w:hint="eastAsia" w:ascii="Times New Roman" w:hAnsi="Times New Roman" w:eastAsia="仿宋" w:cs="Times New Roman"/>
          <w:b/>
          <w:bCs w:val="0"/>
          <w:szCs w:val="21"/>
          <w:highlight w:val="none"/>
          <w:lang w:eastAsia="zh-CN"/>
        </w:rPr>
        <w:t>（一）</w:t>
      </w:r>
      <w:r>
        <w:rPr>
          <w:rFonts w:hint="eastAsia" w:ascii="Times New Roman" w:hAnsi="Times New Roman" w:eastAsia="仿宋" w:cs="Times New Roman"/>
          <w:b/>
          <w:bCs w:val="0"/>
          <w:szCs w:val="21"/>
          <w:highlight w:val="none"/>
        </w:rPr>
        <w:t>实施（交货）时间 ：</w:t>
      </w:r>
      <w:r>
        <w:rPr>
          <w:rFonts w:hint="eastAsia" w:ascii="Times New Roman" w:hAnsi="Times New Roman" w:eastAsia="仿宋" w:cs="Times New Roman"/>
          <w:bCs/>
          <w:szCs w:val="21"/>
          <w:highlight w:val="none"/>
        </w:rPr>
        <w:t>合同签订后</w:t>
      </w:r>
      <w:r>
        <w:rPr>
          <w:rFonts w:hint="eastAsia" w:ascii="Times New Roman" w:hAnsi="Times New Roman" w:eastAsia="仿宋" w:cs="Times New Roman"/>
          <w:bCs/>
          <w:szCs w:val="21"/>
          <w:highlight w:val="none"/>
          <w:lang w:eastAsia="zh-CN"/>
        </w:rPr>
        <w:t>在</w:t>
      </w:r>
      <w:r>
        <w:rPr>
          <w:rFonts w:hint="eastAsia" w:eastAsia="仿宋" w:cs="Times New Roman"/>
          <w:bCs/>
          <w:szCs w:val="21"/>
          <w:highlight w:val="none"/>
          <w:lang w:val="en-US" w:eastAsia="zh-CN"/>
        </w:rPr>
        <w:t>15</w:t>
      </w:r>
      <w:r>
        <w:rPr>
          <w:rFonts w:hint="eastAsia" w:ascii="Times New Roman" w:hAnsi="Times New Roman" w:eastAsia="仿宋" w:cs="Times New Roman"/>
          <w:bCs/>
          <w:szCs w:val="21"/>
          <w:highlight w:val="none"/>
          <w:lang w:val="en-US" w:eastAsia="zh-CN"/>
        </w:rPr>
        <w:t>天</w:t>
      </w:r>
      <w:r>
        <w:rPr>
          <w:rFonts w:hint="eastAsia" w:ascii="Times New Roman" w:hAnsi="Times New Roman" w:eastAsia="仿宋" w:cs="Times New Roman"/>
          <w:bCs/>
          <w:szCs w:val="21"/>
          <w:highlight w:val="none"/>
        </w:rPr>
        <w:t>内</w:t>
      </w:r>
      <w:r>
        <w:rPr>
          <w:rFonts w:hint="eastAsia" w:ascii="Times New Roman" w:hAnsi="Times New Roman" w:eastAsia="仿宋" w:cs="Times New Roman"/>
          <w:bCs/>
          <w:szCs w:val="21"/>
          <w:highlight w:val="none"/>
          <w:lang w:eastAsia="zh-CN"/>
        </w:rPr>
        <w:t>完成供货。</w:t>
      </w:r>
    </w:p>
    <w:p>
      <w:pPr>
        <w:shd w:val="clear" w:color="auto" w:fill="auto"/>
        <w:spacing w:line="264" w:lineRule="auto"/>
        <w:ind w:firstLine="490" w:firstLineChars="200"/>
        <w:outlineLvl w:val="9"/>
        <w:rPr>
          <w:rFonts w:hint="eastAsia" w:ascii="Times New Roman" w:hAnsi="Times New Roman" w:eastAsia="仿宋" w:cs="Times New Roman"/>
          <w:bCs/>
          <w:szCs w:val="21"/>
          <w:highlight w:val="none"/>
        </w:rPr>
      </w:pPr>
      <w:r>
        <w:rPr>
          <w:rFonts w:hint="eastAsia" w:ascii="Times New Roman" w:hAnsi="Times New Roman" w:eastAsia="仿宋" w:cs="Times New Roman"/>
          <w:b/>
          <w:bCs w:val="0"/>
          <w:szCs w:val="21"/>
          <w:highlight w:val="none"/>
        </w:rPr>
        <w:t>（二）实施（交货）地点 ：</w:t>
      </w:r>
      <w:r>
        <w:rPr>
          <w:rFonts w:hint="eastAsia" w:ascii="Times New Roman" w:hAnsi="Times New Roman" w:eastAsia="仿宋" w:cs="Times New Roman"/>
          <w:bCs/>
          <w:szCs w:val="21"/>
          <w:highlight w:val="none"/>
        </w:rPr>
        <w:t>甲方指定地点</w:t>
      </w:r>
    </w:p>
    <w:p>
      <w:pPr>
        <w:shd w:val="clear" w:color="auto" w:fill="auto"/>
        <w:spacing w:line="264" w:lineRule="auto"/>
        <w:ind w:firstLine="490" w:firstLineChars="200"/>
        <w:outlineLvl w:val="9"/>
        <w:rPr>
          <w:rFonts w:hint="eastAsia" w:ascii="Times New Roman" w:hAnsi="Times New Roman" w:eastAsia="仿宋" w:cs="Times New Roman"/>
          <w:b/>
          <w:bCs w:val="0"/>
          <w:szCs w:val="21"/>
          <w:highlight w:val="none"/>
        </w:rPr>
      </w:pPr>
      <w:r>
        <w:rPr>
          <w:rFonts w:hint="eastAsia" w:ascii="Times New Roman" w:hAnsi="Times New Roman" w:eastAsia="仿宋" w:cs="Times New Roman"/>
          <w:b/>
          <w:bCs w:val="0"/>
          <w:szCs w:val="21"/>
          <w:highlight w:val="none"/>
        </w:rPr>
        <w:t>（三）报价要求</w:t>
      </w:r>
    </w:p>
    <w:p>
      <w:pPr>
        <w:shd w:val="clear" w:color="auto" w:fill="auto"/>
        <w:spacing w:line="264" w:lineRule="auto"/>
        <w:ind w:firstLine="490" w:firstLineChars="200"/>
        <w:outlineLvl w:val="9"/>
        <w:rPr>
          <w:rFonts w:hint="eastAsia" w:ascii="Times New Roman" w:hAnsi="Times New Roman" w:eastAsia="仿宋" w:cs="Times New Roman"/>
          <w:bCs/>
          <w:szCs w:val="21"/>
          <w:highlight w:val="none"/>
        </w:rPr>
      </w:pPr>
      <w:r>
        <w:rPr>
          <w:rFonts w:hint="eastAsia" w:ascii="Times New Roman" w:hAnsi="Times New Roman" w:eastAsia="仿宋" w:cs="Times New Roman"/>
          <w:bCs/>
          <w:szCs w:val="21"/>
          <w:highlight w:val="none"/>
        </w:rPr>
        <w:t>本次报价为人民币报价，投标报价应包括：货物本身价格、包装费、运输费用、保险费用、</w:t>
      </w:r>
      <w:r>
        <w:rPr>
          <w:rFonts w:hint="eastAsia" w:ascii="Times New Roman" w:hAnsi="Times New Roman" w:eastAsia="仿宋" w:cs="Times New Roman"/>
          <w:bCs/>
          <w:szCs w:val="21"/>
          <w:highlight w:val="none"/>
          <w:lang w:eastAsia="zh-CN"/>
        </w:rPr>
        <w:t>安装调试费、</w:t>
      </w:r>
      <w:r>
        <w:rPr>
          <w:rFonts w:hint="eastAsia" w:ascii="Times New Roman" w:hAnsi="Times New Roman" w:eastAsia="仿宋" w:cs="Times New Roman"/>
          <w:bCs/>
          <w:szCs w:val="21"/>
          <w:highlight w:val="none"/>
        </w:rPr>
        <w:t>装卸费、损耗、税金费用、自检费、人工费、其他配件费及验收合格前和质保期内发生的一切费用、应当提供的伴随服务/售后服务费用。</w:t>
      </w:r>
    </w:p>
    <w:p>
      <w:pPr>
        <w:shd w:val="clear" w:color="auto" w:fill="auto"/>
        <w:spacing w:line="264" w:lineRule="auto"/>
        <w:ind w:firstLine="490" w:firstLineChars="200"/>
        <w:outlineLvl w:val="9"/>
        <w:rPr>
          <w:rFonts w:hint="eastAsia" w:ascii="Times New Roman" w:hAnsi="Times New Roman" w:eastAsia="仿宋" w:cs="Times New Roman"/>
          <w:b/>
          <w:bCs w:val="0"/>
          <w:szCs w:val="21"/>
          <w:highlight w:val="none"/>
        </w:rPr>
      </w:pPr>
      <w:r>
        <w:rPr>
          <w:rFonts w:hint="eastAsia" w:ascii="Times New Roman" w:hAnsi="Times New Roman" w:eastAsia="仿宋" w:cs="Times New Roman"/>
          <w:b/>
          <w:bCs w:val="0"/>
          <w:szCs w:val="21"/>
          <w:highlight w:val="none"/>
        </w:rPr>
        <w:t>（四）质保要求</w:t>
      </w:r>
    </w:p>
    <w:p>
      <w:pPr>
        <w:shd w:val="clear" w:color="auto" w:fill="auto"/>
        <w:spacing w:line="264" w:lineRule="auto"/>
        <w:ind w:firstLine="490" w:firstLineChars="200"/>
        <w:outlineLvl w:val="9"/>
        <w:rPr>
          <w:rFonts w:hint="eastAsia" w:eastAsia="仿宋" w:cs="Times New Roman"/>
          <w:bCs/>
          <w:szCs w:val="21"/>
          <w:highlight w:val="none"/>
          <w:lang w:val="en-US" w:eastAsia="zh-CN"/>
        </w:rPr>
      </w:pPr>
      <w:r>
        <w:rPr>
          <w:rFonts w:hint="eastAsia" w:ascii="Times New Roman" w:hAnsi="Times New Roman" w:eastAsia="仿宋" w:cs="Times New Roman"/>
          <w:bCs/>
          <w:szCs w:val="21"/>
          <w:highlight w:val="none"/>
        </w:rPr>
        <w:t>1、本项目</w:t>
      </w:r>
      <w:r>
        <w:rPr>
          <w:rFonts w:hint="eastAsia" w:eastAsia="仿宋" w:cs="Times New Roman"/>
          <w:bCs/>
          <w:szCs w:val="21"/>
          <w:highlight w:val="none"/>
          <w:lang w:val="en-US" w:eastAsia="zh-CN"/>
        </w:rPr>
        <w:t>采购的所有</w:t>
      </w:r>
      <w:r>
        <w:rPr>
          <w:rFonts w:hint="eastAsia" w:ascii="Times New Roman" w:hAnsi="Times New Roman" w:eastAsia="仿宋" w:cs="Times New Roman"/>
          <w:bCs/>
          <w:szCs w:val="21"/>
          <w:highlight w:val="none"/>
          <w:lang w:eastAsia="zh-CN"/>
        </w:rPr>
        <w:t>医疗设备质保期</w:t>
      </w:r>
      <w:r>
        <w:rPr>
          <w:rFonts w:hint="eastAsia" w:eastAsia="仿宋" w:cs="Times New Roman"/>
          <w:bCs/>
          <w:szCs w:val="21"/>
          <w:highlight w:val="none"/>
          <w:lang w:val="en-US" w:eastAsia="zh-CN"/>
        </w:rPr>
        <w:t>2年，软件终身维护免费升级。</w:t>
      </w:r>
    </w:p>
    <w:p>
      <w:pPr>
        <w:shd w:val="clear" w:color="auto" w:fill="auto"/>
        <w:spacing w:line="264" w:lineRule="auto"/>
        <w:ind w:firstLine="490" w:firstLineChars="200"/>
        <w:outlineLvl w:val="9"/>
        <w:rPr>
          <w:rFonts w:hint="eastAsia" w:ascii="Times New Roman" w:hAnsi="Times New Roman" w:eastAsia="仿宋" w:cs="Times New Roman"/>
          <w:bCs/>
          <w:szCs w:val="21"/>
          <w:highlight w:val="none"/>
        </w:rPr>
      </w:pPr>
      <w:r>
        <w:rPr>
          <w:rFonts w:hint="eastAsia" w:ascii="Times New Roman" w:hAnsi="Times New Roman" w:eastAsia="仿宋" w:cs="Times New Roman"/>
          <w:bCs/>
          <w:szCs w:val="21"/>
          <w:highlight w:val="none"/>
        </w:rPr>
        <w:t>2、乙方应保证所提供的货物是全新、未使用过的原装合格正品，并完全符合国家标准和行业的相关标准。</w:t>
      </w:r>
    </w:p>
    <w:p>
      <w:pPr>
        <w:shd w:val="clear" w:color="auto" w:fill="auto"/>
        <w:spacing w:line="264" w:lineRule="auto"/>
        <w:ind w:firstLine="490" w:firstLineChars="200"/>
        <w:outlineLvl w:val="9"/>
        <w:rPr>
          <w:rFonts w:hint="eastAsia" w:ascii="Times New Roman" w:hAnsi="Times New Roman" w:eastAsia="仿宋" w:cs="Times New Roman"/>
          <w:b/>
          <w:bCs w:val="0"/>
          <w:color w:val="auto"/>
          <w:szCs w:val="21"/>
          <w:highlight w:val="none"/>
          <w:lang w:val="en-US" w:eastAsia="zh-CN"/>
        </w:rPr>
      </w:pPr>
      <w:r>
        <w:rPr>
          <w:rFonts w:hint="eastAsia" w:ascii="Times New Roman" w:hAnsi="Times New Roman" w:eastAsia="仿宋" w:cs="Times New Roman"/>
          <w:b/>
          <w:bCs w:val="0"/>
          <w:color w:val="auto"/>
          <w:szCs w:val="21"/>
          <w:highlight w:val="none"/>
        </w:rPr>
        <w:t xml:space="preserve">（五）售后服务、理赔、质量技术及验收保证的承诺及其他要求   </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1、产品使用：甲方在使用乙方所供产品中出现问题需乙方解决时，乙方应无偿解决（退换货），维护解决不了的，乙方无条件更换。</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rPr>
      </w:pPr>
      <w:r>
        <w:rPr>
          <w:rFonts w:hint="eastAsia" w:ascii="Times New Roman" w:hAnsi="Times New Roman" w:eastAsia="仿宋" w:cs="Times New Roman"/>
          <w:bCs/>
          <w:color w:val="auto"/>
          <w:szCs w:val="21"/>
          <w:highlight w:val="none"/>
        </w:rPr>
        <w:t>2、保证产品为全新原厂设备；在调试验收后提供保修服务，保质期内有关于产品质量引发的费用，由乙方承担。保质期内由于甲方的使用不当或者是自然环境造成的，由乙方免费提供维修，维修所用的材料和配件均只收取成本价。质保期期间除更换易损件其他检查、维修提供免费维护维修。</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3、符合国家行业标准要求。</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 xml:space="preserve">4、质保期内，当采购人遇到使用及技术问题电话咨询不能解决的，须在24小时内到达现场进行处理。    </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4.1、质保期内，设备出现故障，24小时内到达现场，一般故障8小时内修复，较大故障48小时内解决问题。每年提供不少于4次回访。</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5、交货时应提供以下技术或培训资料（如涉及）</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5.1原产地证明书(由制造厂签发)；</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5.2提供主机及配套设备的安装图纸及说明；</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5.3提供主机及配套设备使用说明书、维护手册；</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5.4备件手册、零件及易损件的图纸及相关资料；</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5.5其它相关技术资料。</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6、投标人设有健全的售后服务机构网点，终端售后服务机构网点有明细以便监督（包括电话、地址、店名、联系人）(附有效的证明资料；如房屋租赁合同或产权证)。如发生以下情况，及时响应并解决故障。</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7、在质保期内，如果投标人的产品技术升级，投标人应及时通知采购人，如采购人有相应要求，投标人应对采购人购买的产品进行升级服务。</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8、质保期过后，投标人应同样提供免费电话咨询服务，并应承诺提供该产品上门维护服务。</w:t>
      </w:r>
    </w:p>
    <w:p>
      <w:pPr>
        <w:shd w:val="clear" w:color="auto" w:fill="auto"/>
        <w:spacing w:line="264" w:lineRule="auto"/>
        <w:ind w:firstLine="490" w:firstLineChars="200"/>
        <w:outlineLvl w:val="9"/>
        <w:rPr>
          <w:rFonts w:hint="default" w:ascii="Times New Roman" w:hAnsi="Times New Roman" w:eastAsia="仿宋" w:cs="Times New Roman"/>
          <w:b/>
          <w:bCs w:val="0"/>
          <w:color w:val="auto"/>
          <w:szCs w:val="21"/>
          <w:highlight w:val="none"/>
          <w:lang w:val="en-US" w:eastAsia="zh-CN"/>
        </w:rPr>
      </w:pPr>
      <w:r>
        <w:rPr>
          <w:rFonts w:hint="eastAsia" w:ascii="Times New Roman" w:hAnsi="Times New Roman" w:eastAsia="仿宋" w:cs="Times New Roman"/>
          <w:b/>
          <w:bCs w:val="0"/>
          <w:color w:val="auto"/>
          <w:szCs w:val="21"/>
          <w:highlight w:val="none"/>
          <w:lang w:val="en-US" w:eastAsia="zh-CN"/>
        </w:rPr>
        <w:t>（六）付款方式</w:t>
      </w:r>
      <w:r>
        <w:rPr>
          <w:rFonts w:hint="eastAsia" w:eastAsia="仿宋" w:cs="Times New Roman"/>
          <w:b/>
          <w:bCs w:val="0"/>
          <w:color w:val="auto"/>
          <w:szCs w:val="21"/>
          <w:highlight w:val="none"/>
          <w:lang w:val="en-US" w:eastAsia="zh-CN"/>
        </w:rPr>
        <w:t>：供货完成安装调试后付全部货款的60%，验收合格设备正常运行后付剩余40%。</w:t>
      </w:r>
    </w:p>
    <w:bookmarkEnd w:id="55"/>
    <w:bookmarkEnd w:id="57"/>
    <w:bookmarkEnd w:id="58"/>
    <w:p>
      <w:pPr>
        <w:shd w:val="clear" w:color="auto" w:fill="auto"/>
        <w:spacing w:line="264" w:lineRule="auto"/>
        <w:ind w:firstLine="490" w:firstLineChars="200"/>
        <w:outlineLvl w:val="9"/>
        <w:rPr>
          <w:rFonts w:hint="eastAsia" w:ascii="Times New Roman" w:hAnsi="Times New Roman" w:eastAsia="仿宋" w:cs="Times New Roman"/>
          <w:b/>
          <w:bCs w:val="0"/>
          <w:color w:val="auto"/>
          <w:szCs w:val="21"/>
          <w:highlight w:val="none"/>
          <w:lang w:val="en-US" w:eastAsia="zh-CN"/>
        </w:rPr>
      </w:pPr>
      <w:bookmarkStart w:id="59" w:name="_Toc8238"/>
      <w:bookmarkStart w:id="60" w:name="_Toc16945"/>
      <w:bookmarkStart w:id="61" w:name="_Toc21807"/>
      <w:bookmarkStart w:id="62" w:name="_Toc469495740"/>
      <w:r>
        <w:rPr>
          <w:rFonts w:hint="eastAsia" w:ascii="Times New Roman" w:hAnsi="Times New Roman" w:eastAsia="仿宋" w:cs="Times New Roman"/>
          <w:b/>
          <w:bCs w:val="0"/>
          <w:color w:val="auto"/>
          <w:szCs w:val="21"/>
          <w:highlight w:val="none"/>
          <w:lang w:val="en-US" w:eastAsia="zh-CN"/>
        </w:rPr>
        <w:t>（七）验收</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1、供应商提供的产品为全新未使用且符合相关法律法规要求的合格产品。</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2、供应商提供的产品型号、规格等与投标文件、合同规定内容完全一致，且满足采购方提出的采购需求。</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3、货物到达现场后，供应商应在使用单位人员在场情况下当面共同清点、检查，作出检查记录，双方签字确认。</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4、货物验收时，供应商向采购人提供生产厂家出具的验收报告、合格证、厂家资格证件等相关文件。</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5、供应商提供的货物未达到招标文件规定要求，且对采购人造成损失的，由供应商承担一切责任，并赔偿所造成的损失。</w:t>
      </w:r>
    </w:p>
    <w:p>
      <w:pPr>
        <w:shd w:val="clear" w:color="auto" w:fill="auto"/>
        <w:spacing w:line="264" w:lineRule="auto"/>
        <w:ind w:firstLine="490" w:firstLineChars="200"/>
        <w:outlineLvl w:val="9"/>
        <w:rPr>
          <w:rFonts w:hint="eastAsia" w:ascii="Times New Roman" w:hAnsi="Times New Roman" w:eastAsia="仿宋" w:cs="Times New Roman"/>
          <w:b/>
          <w:bCs w:val="0"/>
          <w:color w:val="auto"/>
          <w:szCs w:val="21"/>
          <w:highlight w:val="none"/>
          <w:lang w:val="en-US" w:eastAsia="zh-CN"/>
        </w:rPr>
      </w:pPr>
      <w:r>
        <w:rPr>
          <w:rFonts w:hint="eastAsia" w:ascii="Times New Roman" w:hAnsi="Times New Roman" w:eastAsia="仿宋" w:cs="Times New Roman"/>
          <w:b/>
          <w:bCs w:val="0"/>
          <w:color w:val="auto"/>
          <w:szCs w:val="21"/>
          <w:highlight w:val="none"/>
          <w:lang w:val="en-US" w:eastAsia="zh-CN"/>
        </w:rPr>
        <w:t>（八） 知识产权</w:t>
      </w:r>
      <w:bookmarkEnd w:id="59"/>
      <w:bookmarkEnd w:id="60"/>
      <w:bookmarkEnd w:id="61"/>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采购方在中华人民共和国境内使用投标人提供的货物及服务时免受第三方提出的侵犯其专利权或其它知识产权的起诉。如果第三方提出侵权指控，供货服务商应承担由此而引起的一切法律责任和费用。</w:t>
      </w:r>
    </w:p>
    <w:p>
      <w:pPr>
        <w:shd w:val="clear" w:color="auto" w:fill="auto"/>
        <w:spacing w:line="264" w:lineRule="auto"/>
        <w:ind w:firstLine="490" w:firstLineChars="200"/>
        <w:outlineLvl w:val="9"/>
        <w:rPr>
          <w:rFonts w:hint="eastAsia" w:ascii="Times New Roman" w:hAnsi="Times New Roman" w:eastAsia="仿宋" w:cs="Times New Roman"/>
          <w:b/>
          <w:bCs w:val="0"/>
          <w:color w:val="auto"/>
          <w:szCs w:val="21"/>
          <w:highlight w:val="none"/>
          <w:lang w:val="en-US" w:eastAsia="zh-CN"/>
        </w:rPr>
      </w:pPr>
      <w:bookmarkStart w:id="63" w:name="_Toc20832"/>
      <w:bookmarkStart w:id="64" w:name="_Toc7598"/>
      <w:bookmarkStart w:id="65" w:name="_Toc12239"/>
      <w:bookmarkStart w:id="66" w:name="_Toc439255252"/>
      <w:bookmarkStart w:id="67" w:name="_Toc267320054"/>
      <w:bookmarkStart w:id="68" w:name="_Toc12840_WPSOffice_Level1"/>
      <w:r>
        <w:rPr>
          <w:rFonts w:hint="eastAsia" w:ascii="Times New Roman" w:hAnsi="Times New Roman" w:eastAsia="仿宋" w:cs="Times New Roman"/>
          <w:b/>
          <w:bCs w:val="0"/>
          <w:color w:val="auto"/>
          <w:szCs w:val="21"/>
          <w:highlight w:val="none"/>
          <w:lang w:val="en-US" w:eastAsia="zh-CN"/>
        </w:rPr>
        <w:t>（九） 其他</w:t>
      </w:r>
      <w:bookmarkEnd w:id="63"/>
      <w:bookmarkEnd w:id="64"/>
      <w:bookmarkEnd w:id="65"/>
    </w:p>
    <w:bookmarkEnd w:id="66"/>
    <w:bookmarkEnd w:id="67"/>
    <w:bookmarkEnd w:id="68"/>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1、投标人必须在投标文件中对以上条款和服务承诺明确列出，承诺内容必须达到本篇及招标文件其他条款的要求。</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2、其他未尽事宜由供需双方在采购合同中详细约定。</w:t>
      </w:r>
    </w:p>
    <w:bookmarkEnd w:id="62"/>
    <w:p>
      <w:pPr>
        <w:numPr>
          <w:ilvl w:val="0"/>
          <w:numId w:val="0"/>
        </w:numPr>
        <w:spacing w:line="360" w:lineRule="auto"/>
        <w:ind w:leftChars="0" w:right="0" w:rightChars="0"/>
        <w:jc w:val="center"/>
        <w:outlineLvl w:val="9"/>
        <w:rPr>
          <w:rFonts w:hint="eastAsia" w:ascii="仿宋" w:hAnsi="仿宋" w:eastAsia="仿宋" w:cs="仿宋"/>
          <w:b/>
          <w:bCs/>
          <w:color w:val="auto"/>
          <w:sz w:val="36"/>
          <w:szCs w:val="36"/>
          <w:highlight w:val="none"/>
          <w:lang w:eastAsia="zh-CN"/>
        </w:rPr>
      </w:pPr>
    </w:p>
    <w:p>
      <w:pPr>
        <w:pStyle w:val="2"/>
        <w:outlineLvl w:val="9"/>
        <w:rPr>
          <w:rFonts w:hint="eastAsia"/>
          <w:highlight w:val="none"/>
          <w:lang w:eastAsia="zh-CN"/>
        </w:rPr>
      </w:pPr>
    </w:p>
    <w:p>
      <w:pPr>
        <w:outlineLvl w:val="9"/>
        <w:rPr>
          <w:rFonts w:hint="eastAsia" w:ascii="仿宋" w:hAnsi="仿宋" w:eastAsia="仿宋" w:cs="仿宋"/>
          <w:b/>
          <w:bCs/>
          <w:color w:val="auto"/>
          <w:sz w:val="36"/>
          <w:szCs w:val="36"/>
          <w:highlight w:val="none"/>
          <w:lang w:eastAsia="zh-CN"/>
        </w:rPr>
      </w:pPr>
      <w:r>
        <w:rPr>
          <w:rFonts w:hint="eastAsia" w:ascii="仿宋" w:hAnsi="仿宋" w:eastAsia="仿宋" w:cs="仿宋"/>
          <w:b/>
          <w:bCs/>
          <w:color w:val="auto"/>
          <w:sz w:val="36"/>
          <w:szCs w:val="36"/>
          <w:highlight w:val="none"/>
          <w:lang w:eastAsia="zh-CN"/>
        </w:rPr>
        <w:br w:type="page"/>
      </w:r>
    </w:p>
    <w:p>
      <w:pPr>
        <w:keepNext w:val="0"/>
        <w:keepLines w:val="0"/>
        <w:pageBreakBefore w:val="0"/>
        <w:numPr>
          <w:ilvl w:val="0"/>
          <w:numId w:val="0"/>
        </w:numPr>
        <w:kinsoku/>
        <w:wordWrap/>
        <w:overflowPunct/>
        <w:topLinePunct w:val="0"/>
        <w:autoSpaceDE/>
        <w:autoSpaceDN/>
        <w:bidi w:val="0"/>
        <w:adjustRightInd/>
        <w:spacing w:line="400" w:lineRule="exact"/>
        <w:ind w:leftChars="0" w:right="0" w:rightChars="0"/>
        <w:jc w:val="center"/>
        <w:outlineLvl w:val="0"/>
        <w:rPr>
          <w:rFonts w:hint="eastAsia" w:ascii="仿宋" w:hAnsi="仿宋" w:eastAsia="仿宋" w:cs="仿宋"/>
          <w:b/>
          <w:bCs/>
          <w:color w:val="auto"/>
          <w:sz w:val="36"/>
          <w:szCs w:val="36"/>
          <w:highlight w:val="none"/>
        </w:rPr>
      </w:pPr>
      <w:bookmarkStart w:id="69" w:name="_Toc30467"/>
      <w:bookmarkStart w:id="70" w:name="_Toc27593"/>
      <w:r>
        <w:rPr>
          <w:rFonts w:hint="eastAsia" w:ascii="仿宋" w:hAnsi="仿宋" w:eastAsia="仿宋" w:cs="仿宋"/>
          <w:b/>
          <w:bCs/>
          <w:color w:val="auto"/>
          <w:sz w:val="36"/>
          <w:szCs w:val="36"/>
          <w:highlight w:val="none"/>
          <w:lang w:eastAsia="zh-CN"/>
        </w:rPr>
        <w:t>第五</w:t>
      </w:r>
      <w:r>
        <w:rPr>
          <w:rFonts w:hint="eastAsia" w:ascii="仿宋" w:hAnsi="仿宋" w:eastAsia="仿宋" w:cs="仿宋"/>
          <w:b/>
          <w:bCs/>
          <w:color w:val="auto"/>
          <w:sz w:val="36"/>
          <w:szCs w:val="36"/>
          <w:highlight w:val="none"/>
          <w:lang w:val="en-US" w:eastAsia="zh-CN"/>
        </w:rPr>
        <w:t xml:space="preserve">部分 </w:t>
      </w:r>
      <w:r>
        <w:rPr>
          <w:rFonts w:hint="eastAsia" w:ascii="仿宋" w:hAnsi="仿宋" w:eastAsia="仿宋" w:cs="仿宋"/>
          <w:b/>
          <w:bCs/>
          <w:color w:val="auto"/>
          <w:sz w:val="36"/>
          <w:szCs w:val="36"/>
          <w:highlight w:val="none"/>
        </w:rPr>
        <w:t>合同条款及格式</w:t>
      </w:r>
      <w:bookmarkEnd w:id="69"/>
      <w:bookmarkEnd w:id="70"/>
    </w:p>
    <w:p>
      <w:pPr>
        <w:keepNext w:val="0"/>
        <w:keepLines w:val="0"/>
        <w:pageBreakBefore w:val="0"/>
        <w:kinsoku/>
        <w:wordWrap/>
        <w:overflowPunct/>
        <w:topLinePunct w:val="0"/>
        <w:autoSpaceDE/>
        <w:autoSpaceDN/>
        <w:bidi w:val="0"/>
        <w:adjustRightInd/>
        <w:spacing w:line="400" w:lineRule="exact"/>
        <w:jc w:val="center"/>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（本合同为合同样稿，最终稿由供需双方协商后确定</w:t>
      </w:r>
      <w:r>
        <w:rPr>
          <w:rFonts w:hint="eastAsia" w:ascii="仿宋" w:hAnsi="仿宋" w:eastAsia="仿宋" w:cs="仿宋"/>
          <w:b/>
          <w:bCs/>
          <w:color w:val="auto"/>
          <w:sz w:val="24"/>
          <w:szCs w:val="24"/>
          <w:highlight w:val="none"/>
          <w:lang w:eastAsia="zh-CN"/>
        </w:rPr>
        <w:t>）</w:t>
      </w:r>
    </w:p>
    <w:p>
      <w:pPr>
        <w:pStyle w:val="18"/>
        <w:keepNext w:val="0"/>
        <w:keepLines w:val="0"/>
        <w:pageBreakBefore w:val="0"/>
        <w:kinsoku/>
        <w:wordWrap/>
        <w:overflowPunct/>
        <w:topLinePunct w:val="0"/>
        <w:autoSpaceDE/>
        <w:autoSpaceDN/>
        <w:bidi w:val="0"/>
        <w:adjustRightInd/>
        <w:spacing w:line="400" w:lineRule="exact"/>
        <w:outlineLvl w:val="9"/>
        <w:rPr>
          <w:rFonts w:hint="eastAsia"/>
          <w:highlight w:val="none"/>
        </w:rPr>
      </w:pPr>
    </w:p>
    <w:p>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400" w:lineRule="exact"/>
        <w:ind w:leftChars="0" w:right="0" w:rightChars="0"/>
        <w:jc w:val="center"/>
        <w:textAlignment w:val="baseline"/>
        <w:outlineLvl w:val="9"/>
        <w:rPr>
          <w:rFonts w:hint="eastAsia" w:ascii="黑体" w:hAnsi="黑体" w:eastAsia="黑体" w:cs="黑体"/>
          <w:b/>
          <w:color w:val="auto"/>
          <w:sz w:val="28"/>
          <w:szCs w:val="28"/>
          <w:highlight w:val="none"/>
        </w:rPr>
      </w:pPr>
      <w:bookmarkStart w:id="71" w:name="_Toc469495741"/>
      <w:r>
        <w:rPr>
          <w:rFonts w:hint="eastAsia" w:ascii="黑体" w:hAnsi="黑体" w:eastAsia="黑体" w:cs="黑体"/>
          <w:b/>
          <w:color w:val="auto"/>
          <w:sz w:val="28"/>
          <w:szCs w:val="28"/>
          <w:highlight w:val="none"/>
        </w:rPr>
        <w:t>合同协议书</w:t>
      </w:r>
      <w:bookmarkEnd w:id="71"/>
    </w:p>
    <w:p>
      <w:pPr>
        <w:keepNext w:val="0"/>
        <w:keepLines w:val="0"/>
        <w:pageBreakBefore w:val="0"/>
        <w:shd w:val="clear" w:color="auto" w:fill="auto"/>
        <w:kinsoku/>
        <w:wordWrap/>
        <w:overflowPunct/>
        <w:topLinePunct w:val="0"/>
        <w:autoSpaceDE/>
        <w:bidi w:val="0"/>
        <w:adjustRightInd/>
        <w:snapToGrid/>
        <w:spacing w:line="400" w:lineRule="exact"/>
        <w:ind w:firstLine="2069" w:firstLineChars="845"/>
        <w:outlineLvl w:val="9"/>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 xml:space="preserve">合同名称   </w:t>
      </w:r>
      <w:r>
        <w:rPr>
          <w:rFonts w:hint="eastAsia" w:ascii="仿宋" w:hAnsi="仿宋" w:eastAsia="仿宋" w:cs="仿宋"/>
          <w:color w:val="auto"/>
          <w:sz w:val="24"/>
          <w:szCs w:val="24"/>
          <w:highlight w:val="none"/>
        </w:rPr>
        <w:t xml:space="preserve">          编号</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bookmarkStart w:id="72" w:name="_Toc469495742"/>
      <w:bookmarkStart w:id="73" w:name="_Toc152042388"/>
      <w:bookmarkStart w:id="74" w:name="_Toc144974578"/>
      <w:bookmarkStart w:id="75" w:name="_Toc179632628"/>
      <w:bookmarkStart w:id="76" w:name="_Toc247085768"/>
      <w:bookmarkStart w:id="77" w:name="_Toc296602498"/>
      <w:bookmarkStart w:id="78" w:name="_Toc246996253"/>
      <w:bookmarkStart w:id="79" w:name="_Toc246996996"/>
      <w:bookmarkStart w:id="80" w:name="_Toc152045610"/>
      <w:r>
        <w:rPr>
          <w:rFonts w:hint="eastAsia" w:ascii="仿宋" w:hAnsi="仿宋" w:eastAsia="仿宋" w:cs="仿宋"/>
          <w:color w:val="auto"/>
          <w:sz w:val="24"/>
          <w:szCs w:val="24"/>
          <w:highlight w:val="none"/>
        </w:rPr>
        <w:t>买    方：                                   卖    方：</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                                   电    话：</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住    所：                                   住    所：                       </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（买方）</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中所需</w:t>
      </w:r>
      <w:r>
        <w:rPr>
          <w:rFonts w:hint="eastAsia" w:ascii="仿宋" w:hAnsi="仿宋" w:eastAsia="仿宋" w:cs="仿宋"/>
          <w:color w:val="auto"/>
          <w:sz w:val="24"/>
          <w:szCs w:val="24"/>
          <w:highlight w:val="none"/>
          <w:u w:val="single"/>
        </w:rPr>
        <w:t>（产品名称）</w:t>
      </w:r>
      <w:r>
        <w:rPr>
          <w:rFonts w:hint="eastAsia" w:ascii="仿宋" w:hAnsi="仿宋" w:eastAsia="仿宋" w:cs="仿宋"/>
          <w:color w:val="auto"/>
          <w:sz w:val="24"/>
          <w:szCs w:val="24"/>
          <w:highlight w:val="none"/>
        </w:rPr>
        <w:t xml:space="preserve"> 经公开招标，确定</w:t>
      </w:r>
      <w:r>
        <w:rPr>
          <w:rFonts w:hint="eastAsia" w:ascii="仿宋" w:hAnsi="仿宋" w:eastAsia="仿宋" w:cs="仿宋"/>
          <w:color w:val="auto"/>
          <w:sz w:val="24"/>
          <w:szCs w:val="24"/>
          <w:highlight w:val="none"/>
          <w:u w:val="single"/>
        </w:rPr>
        <w:t>（卖方）</w:t>
      </w:r>
      <w:r>
        <w:rPr>
          <w:rFonts w:hint="eastAsia" w:ascii="仿宋" w:hAnsi="仿宋" w:eastAsia="仿宋" w:cs="仿宋"/>
          <w:color w:val="auto"/>
          <w:sz w:val="24"/>
          <w:szCs w:val="24"/>
          <w:highlight w:val="none"/>
        </w:rPr>
        <w:t>为中标人。按照中华人民共和国合同法的规定，买卖双方同意按照下述的条款和条件，签署本合同。</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1、本合同文件</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下列每一文件均应作为合同的组成部分进行阅读和解释：</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采购文件</w:t>
      </w:r>
      <w:r>
        <w:rPr>
          <w:rFonts w:hint="eastAsia" w:ascii="仿宋" w:hAnsi="仿宋" w:eastAsia="仿宋" w:cs="仿宋"/>
          <w:color w:val="auto"/>
          <w:sz w:val="24"/>
          <w:szCs w:val="24"/>
          <w:highlight w:val="none"/>
        </w:rPr>
        <w:t>（2）投标文件（3）中标通知书</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（4）经双方确认进入合同的其它文件、补充条款或说明</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2、采购标的、数量、质量要求</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3、合同总价</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合同总价为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元人民币。</w:t>
      </w:r>
    </w:p>
    <w:p>
      <w:pPr>
        <w:keepNext w:val="0"/>
        <w:keepLines w:val="0"/>
        <w:pageBreakBefore w:val="0"/>
        <w:shd w:val="clear" w:color="auto" w:fill="auto"/>
        <w:kinsoku/>
        <w:wordWrap/>
        <w:overflowPunct/>
        <w:topLinePunct w:val="0"/>
        <w:autoSpaceDE/>
        <w:autoSpaceDN w:val="0"/>
        <w:bidi w:val="0"/>
        <w:adjustRightInd/>
        <w:snapToGrid/>
        <w:spacing w:line="400" w:lineRule="exact"/>
        <w:ind w:firstLine="490" w:firstLineChars="200"/>
        <w:outlineLvl w:val="9"/>
        <w:rPr>
          <w:rFonts w:hint="eastAsia" w:ascii="仿宋" w:hAnsi="仿宋" w:eastAsia="仿宋" w:cs="仿宋"/>
          <w:b/>
          <w:color w:val="auto"/>
          <w:kern w:val="0"/>
          <w:sz w:val="24"/>
          <w:szCs w:val="24"/>
          <w:highlight w:val="none"/>
        </w:rPr>
      </w:pPr>
      <w:r>
        <w:rPr>
          <w:rFonts w:hint="eastAsia" w:ascii="仿宋" w:hAnsi="仿宋" w:eastAsia="仿宋" w:cs="仿宋"/>
          <w:color w:val="auto"/>
          <w:sz w:val="24"/>
          <w:szCs w:val="24"/>
          <w:highlight w:val="none"/>
        </w:rPr>
        <w:t>4、付款方式</w:t>
      </w:r>
      <w:r>
        <w:rPr>
          <w:rFonts w:hint="eastAsia" w:ascii="仿宋" w:hAnsi="仿宋" w:eastAsia="仿宋" w:cs="仿宋"/>
          <w:b/>
          <w:bCs/>
          <w:color w:val="auto"/>
          <w:sz w:val="24"/>
          <w:szCs w:val="24"/>
          <w:highlight w:val="none"/>
        </w:rPr>
        <w:t>：</w:t>
      </w:r>
      <w:r>
        <w:rPr>
          <w:rFonts w:hint="eastAsia" w:ascii="仿宋" w:hAnsi="仿宋" w:eastAsia="仿宋" w:cs="仿宋"/>
          <w:color w:val="auto"/>
          <w:sz w:val="24"/>
          <w:szCs w:val="24"/>
          <w:highlight w:val="none"/>
          <w:u w:val="single"/>
        </w:rPr>
        <w:t xml:space="preserve">                                         。</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5、合同供货（服务）期限及地点和方式</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6、验收要求及违约责任</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7、违约责任及解决争议方法</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8、合同的生效</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合同经双方授权代表签署，买卖双方加盖印章之后生效。</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本合同一式     份，双方各执     份。</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买  方：                          卖  方：</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名  称：（盖章）                   名  称：（盖章）</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法定代表人（或委托代理人）：       法定代表人（或委托代理人）：</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（签字）                        （签字）</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地    址：                        地    址：</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邮政编码：                        邮政编码：</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电    话：                        电    话：</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开户银行：                        开户银行：</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帐    号：                        帐    号：</w:t>
      </w:r>
    </w:p>
    <w:p>
      <w:pPr>
        <w:shd w:val="clear" w:color="auto" w:fill="auto"/>
        <w:spacing w:line="600" w:lineRule="exact"/>
        <w:jc w:val="center"/>
        <w:outlineLvl w:val="9"/>
        <w:rPr>
          <w:rFonts w:hint="eastAsia" w:ascii="黑体" w:eastAsia="黑体"/>
          <w:b/>
          <w:color w:val="auto"/>
          <w:sz w:val="32"/>
          <w:szCs w:val="32"/>
          <w:highlight w:val="none"/>
        </w:rPr>
      </w:pPr>
      <w:r>
        <w:rPr>
          <w:rFonts w:hint="eastAsia" w:ascii="黑体" w:eastAsia="黑体"/>
          <w:b/>
          <w:color w:val="auto"/>
          <w:sz w:val="32"/>
          <w:szCs w:val="32"/>
          <w:highlight w:val="none"/>
        </w:rPr>
        <w:t>二  合同条款</w:t>
      </w:r>
      <w:bookmarkEnd w:id="72"/>
      <w:bookmarkEnd w:id="73"/>
      <w:bookmarkEnd w:id="74"/>
      <w:bookmarkEnd w:id="75"/>
      <w:bookmarkEnd w:id="76"/>
      <w:bookmarkEnd w:id="77"/>
      <w:bookmarkEnd w:id="78"/>
      <w:bookmarkEnd w:id="79"/>
      <w:bookmarkEnd w:id="80"/>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  合同文件</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1、合同文件适用法律</w:t>
      </w:r>
    </w:p>
    <w:p>
      <w:pPr>
        <w:shd w:val="clear" w:color="auto" w:fill="auto"/>
        <w:spacing w:line="440" w:lineRule="exact"/>
        <w:ind w:firstLine="735" w:firstLineChars="3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适用于合同文件的法律是中华人民共和国现行法律、法规及招标人所在地的地方性法规。</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2、合同文件组成和解释顺序</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(1)合同文件的组成和解释顺序如下：</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&lt;1&gt;合同的主要条款；</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&lt;2&gt;合同的一般性条款；</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&lt;3&gt;洽商、变更等明确双方权利义务的纪要、协议；</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&lt;4&gt;中标通知书、投标文件和</w:t>
      </w:r>
      <w:r>
        <w:rPr>
          <w:rFonts w:hint="eastAsia" w:ascii="仿宋" w:hAnsi="仿宋" w:eastAsia="仿宋" w:cs="仿宋"/>
          <w:color w:val="auto"/>
          <w:sz w:val="24"/>
          <w:szCs w:val="24"/>
          <w:highlight w:val="none"/>
          <w:lang w:eastAsia="zh-CN"/>
        </w:rPr>
        <w:t>采购文件</w:t>
      </w:r>
      <w:r>
        <w:rPr>
          <w:rFonts w:hint="eastAsia" w:ascii="仿宋" w:hAnsi="仿宋" w:eastAsia="仿宋" w:cs="仿宋"/>
          <w:color w:val="auto"/>
          <w:sz w:val="24"/>
          <w:szCs w:val="24"/>
          <w:highlight w:val="none"/>
        </w:rPr>
        <w:t>；</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&lt;5&gt;有关图纸、标准、规范和其它有关技术资料、技术要求。</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&lt;6&gt;合同的主要条款的效力优于合同的一般性条款的效力。</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3、合同文件使用文字</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(1)合同文件使用中文书写、解释和说明。</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 xml:space="preserve">(2)合同文件使用技术性条款约定的为国家标准和规范；国家没有相应标准、规范时，可使用行业标准、规范。非标货物应按约定的技术性条款的标准和规范。 </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  标的物的一般条款</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4、完整物权</w:t>
      </w:r>
    </w:p>
    <w:p>
      <w:pPr>
        <w:shd w:val="clear" w:color="auto" w:fill="auto"/>
        <w:tabs>
          <w:tab w:val="left" w:pos="660"/>
        </w:tabs>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对于出卖的标的物，卖方应当拥有完整物权，并且卖方负有保证第三人不得向买方主张任何权利（包括知识产权）的义务。</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5、质量保证</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卖方应保证所供标的物是全新的，未使用过的，并且是非长期积压的库存商品，完全符合合同规定的质量、规格和性能的要求，卖方应保证其提供的标的物在正确安装，正常使用和保养条件下，在其标称的使用寿命期内应具有满意的性能。在卖方承诺的质量保证期限内，卖方应对由于设计、工艺或材料的缺陷及伴随服务而造成的任何不足或故障负责。</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根据买方按检验标准自己检验的结果或当地技监部门的检验结果，或者在质量保证期内，如果标的物的数量、质量或规格与合同不符或证实标的物是有缺陷的，包括潜在缺陷或使用不符合要求的材料等，买方应尽快以书面形式通知卖方并提出索赔。</w:t>
      </w:r>
    </w:p>
    <w:p>
      <w:pPr>
        <w:pStyle w:val="6"/>
        <w:shd w:val="clear" w:color="auto" w:fill="auto"/>
        <w:tabs>
          <w:tab w:val="left" w:pos="900"/>
        </w:tabs>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(3)除合同主要条款规定外，合同条款中标的物的质量保证期均自标的物通过最终验收之日起计算，且质量保证期按不低于国家标准和卖方承诺的高于国家标准的质保期（卖方有特殊要求的除外）。</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6、包装</w:t>
      </w:r>
    </w:p>
    <w:p>
      <w:pPr>
        <w:pStyle w:val="6"/>
        <w:shd w:val="clear" w:color="auto" w:fill="auto"/>
        <w:tabs>
          <w:tab w:val="left" w:pos="900"/>
        </w:tabs>
        <w:spacing w:line="440" w:lineRule="exact"/>
        <w:ind w:firstLine="551" w:firstLineChars="225"/>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卖方应当按照约定的包装方式交付标的物。对包装方式没有约定或者约定不明确的，应当按照双方补充协议约定的方式包装，或者按照通用的方式包装，没有通用方式的，应当采取足以保护标的物的包装方式。</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7、伴随服务</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(1)卖方除应履行按期按量交付合格标的物的义务之外，还应提供下列服务：</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&lt;1&gt;标的物的现场安装或指导安装、启动、调试、监督（如果必须安装、调试的话）；</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&lt;2&gt;提供标的物组装和一般维修所必须的工具；</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&lt;3&gt;在合同规定的期限内对所提供标的物实行运行监督、维修服务的前提条件是该服务并不能免除卖方在质量保证期内所承担的义务；</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&lt;4&gt;对买方技术人员的技术指导或培训。</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(2)除合同另有规定之外，伴随服务的费用均已含在合同价款中，买方不再另行进行支付。</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  标的物的交付、检验和验收</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8、标的物的交付</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(1)标的物的所有权自标的物交付时转移。</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(2)卖方应当按照约定的期限和约定的地点交付符合</w:t>
      </w:r>
      <w:r>
        <w:rPr>
          <w:rFonts w:hint="eastAsia" w:ascii="仿宋" w:hAnsi="仿宋" w:eastAsia="仿宋" w:cs="仿宋"/>
          <w:color w:val="auto"/>
          <w:sz w:val="24"/>
          <w:szCs w:val="24"/>
          <w:highlight w:val="none"/>
          <w:u w:val="none" w:color="000000"/>
          <w:lang w:eastAsia="zh-CN"/>
        </w:rPr>
        <w:t>采购文件</w:t>
      </w:r>
      <w:r>
        <w:rPr>
          <w:rFonts w:hint="eastAsia" w:ascii="仿宋" w:hAnsi="仿宋" w:eastAsia="仿宋" w:cs="仿宋"/>
          <w:color w:val="auto"/>
          <w:sz w:val="24"/>
          <w:szCs w:val="24"/>
          <w:highlight w:val="none"/>
          <w:u w:val="none" w:color="000000"/>
        </w:rPr>
        <w:t>要求的标的物。</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(3)卖方应当按照约定或者交易习惯向招标人交付提取标的物单证以外的有关单证和资料。</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9、检验和验收</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在交货时，卖方应配合买方对标的物的质量、规格、性能、数量等进行详细而全面的检验，并出具一份合格检验证明，合格检验证明作为验收的依据，但不能作为有关标的物质量、规格、数量或性能的最终检验结果。</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(2)买方根据合同规定的内容和验收标准进行验收，经检验无误后出具验收合格证明，该证明作为最终付款所需文件的组成部分。</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(3)验收期限自标的物交付之日起三十天内。特殊情况需延长的，双方应在合同条款中约定。</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四. 对标的物提出异议的时间和办法</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10、对标的物提出异议的时间和办法 </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(1)买方在验收过程中，应当于双方约定的检验期间内将标的物的数量或质量不符合约定的情形及处理方式以书面形式通知卖方。</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(2)如买方在验收期满后既不出具验收合格证明又未提出书面异议的视为卖方所交标的物符合合同规定。</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(3)卖方应在收到买方书面异议后七天内负责处理问题，否则将视为默认买方提出的异议和处理意见。</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 合同价款和支付</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11、合同价款和支付</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(1)本合同的结算货币为人民币，单位元。</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(2)卖方应按照双方签订的合同规定交货并在合同主要条款规定的期限内持下列单据结算货款：</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&lt;1&gt;合格的销售发票；</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&lt;2&gt;买方盖章签收后的送货回单和验收合格证明。</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(3)买方应按合同主要条款规定的期限和方式付款。</w:t>
      </w:r>
    </w:p>
    <w:p>
      <w:pPr>
        <w:pStyle w:val="6"/>
        <w:shd w:val="clear" w:color="auto" w:fill="auto"/>
        <w:tabs>
          <w:tab w:val="left" w:pos="540"/>
        </w:tabs>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(4)根据现行税法对买方征收的与本合同有关的一切税费均由买方承担；根据现行税法对卖方征收的与本合同有关的一切税费均由卖方承担。</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六. 违约责任</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12、违约责任</w:t>
      </w:r>
    </w:p>
    <w:p>
      <w:pPr>
        <w:pStyle w:val="6"/>
        <w:shd w:val="clear" w:color="auto" w:fill="auto"/>
        <w:spacing w:line="440" w:lineRule="exact"/>
        <w:ind w:firstLine="551" w:firstLineChars="225"/>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合同一方不履行合同义务或者履行合同义务不符合约定的，应当承担继续履行、采取补救措施或者赔偿损失等违约责任。</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13、买方违约责任</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(1)在合同生效后，买方要求退货的，应向卖方偿付合同总价款的5%，作为违约金，违约金不足以补偿损失的，卖方有权要求甲方补足。</w:t>
      </w:r>
    </w:p>
    <w:p>
      <w:pPr>
        <w:pStyle w:val="6"/>
        <w:shd w:val="clear" w:color="auto" w:fill="auto"/>
        <w:overflowPunct w:val="0"/>
        <w:spacing w:line="440" w:lineRule="exact"/>
        <w:ind w:right="-389" w:rightChars="-159"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(2)买方逾期付款的应按照逾期付款金额的每天万分之四支付逾期付款违约金。</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(3)买方违反合同规定，拒绝接收卖方交付的符合</w:t>
      </w:r>
      <w:r>
        <w:rPr>
          <w:rFonts w:hint="eastAsia" w:ascii="仿宋" w:hAnsi="仿宋" w:eastAsia="仿宋" w:cs="仿宋"/>
          <w:color w:val="auto"/>
          <w:sz w:val="24"/>
          <w:szCs w:val="24"/>
          <w:highlight w:val="none"/>
          <w:u w:val="none" w:color="000000"/>
          <w:lang w:eastAsia="zh-CN"/>
        </w:rPr>
        <w:t>采购文件</w:t>
      </w:r>
      <w:r>
        <w:rPr>
          <w:rFonts w:hint="eastAsia" w:ascii="仿宋" w:hAnsi="仿宋" w:eastAsia="仿宋" w:cs="仿宋"/>
          <w:color w:val="auto"/>
          <w:sz w:val="24"/>
          <w:szCs w:val="24"/>
          <w:highlight w:val="none"/>
          <w:u w:val="none" w:color="000000"/>
        </w:rPr>
        <w:t>要求的合格标的物，应当承担卖方由此造成的损失。</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14、卖方违约责任</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(1)卖方不能交货（逾期超过五天视为不能交货），或交货不合格从而影响买方按期正常使用的，应向买方偿付合同总价款5%的违约金，违约金不足以补偿损失的，买方有权要求卖方补足。</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(2)卖方逾期交货的，应在发货前与买方和政府采购管理部门协商，买方仍需求的，卖方应立即发货并应按照逾期交货部分货款的每天万分之四支付逾期交货违约金，同时承担买方因此遭致的损失费用。</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15、不可抗力</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(1)因水灾、火灾、地震、战争等不可抗力不能履行合同的，根据不可抗力的影响，部分或者全部免除责任。但合同一方迟延履行后发生不可抗力的，不能免除责任。</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(2)合同一方因不可抗力不能履行合同的，应当及时通知对方，以减轻可能给对方造成的损失，并应当在合理期限内提供证明。</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七. 索赔</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16、索赔</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(1)买方有权根据当地产品质量检验机构或其它有权威部门出具的检验证书向卖方提出索赔。</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(2)在本合同规定的检验期和质量保证期内，如果卖方对买方提出的索赔或差异有责任，则卖方应按买方同意的下列一种或多种方式解决索赔事宜：</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&lt;1&gt;卖方同意退货，并按合同规定的货币将货款退还给买方，并承担由此发生的一切损失和费用，包括利息、银行手续费、运费、保险费、检验费、仓储费、装卸费以及为保护退回标的物所需的其它必要费用；</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&lt;2&gt;根据标的物的低劣程度、损坏程度以及甲方遭受损失的数额，经双方协商确定降低标的物的价格；</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3&gt;用符合规格、质量和性能要求的新零件、部件或标的物来更换有缺陷的部分或修补缺陷部分，卖方应承担一切费用和风险并负担买方所发生的一切直接费用。同时，卖方应按合同规定，相应延长修补或被更换部件或标的物的质量保证期。</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如果在买方发出索赔通知后七天内，卖方未能答复，上述索赔应视为已被卖方接受。若卖方未在买方提出索赔通知后七天内或买方同意的更长时间内，按照合同规定的任何一种方法解决索赔事宜，买方将从未付款或卖方开具的履约保证金中扣回索赔金额，如果这些金额不足以补偿索赔金额，买方有权向卖方提出对不足部分的补偿。</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(4)买方提出索赔的书面材料应报当地政府采购管理部门备案。卖方同意的索赔方案应报当地政府采购管理部门审核。</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八. 履约保证金</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17、履约保证金</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(1)卖方应在本合同签订时，按</w:t>
      </w:r>
      <w:r>
        <w:rPr>
          <w:rFonts w:hint="eastAsia" w:ascii="仿宋" w:hAnsi="仿宋" w:eastAsia="仿宋" w:cs="仿宋"/>
          <w:color w:val="auto"/>
          <w:sz w:val="24"/>
          <w:szCs w:val="24"/>
          <w:highlight w:val="none"/>
          <w:u w:val="none" w:color="000000"/>
          <w:lang w:eastAsia="zh-CN"/>
        </w:rPr>
        <w:t>采购文件</w:t>
      </w:r>
      <w:r>
        <w:rPr>
          <w:rFonts w:hint="eastAsia" w:ascii="仿宋" w:hAnsi="仿宋" w:eastAsia="仿宋" w:cs="仿宋"/>
          <w:color w:val="auto"/>
          <w:sz w:val="24"/>
          <w:szCs w:val="24"/>
          <w:highlight w:val="none"/>
          <w:u w:val="none" w:color="000000"/>
        </w:rPr>
        <w:t>的约定提供相应的履约保证金，保证金的有效期应不低于合同有效期。</w:t>
      </w:r>
    </w:p>
    <w:p>
      <w:pPr>
        <w:pStyle w:val="6"/>
        <w:shd w:val="clear" w:color="auto" w:fill="auto"/>
        <w:overflowPunct w:val="0"/>
        <w:spacing w:line="440" w:lineRule="exact"/>
        <w:ind w:right="-389" w:rightChars="-159"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(2)如果卖方未能履行合同规定的任何义务，买方有权从履约保证金中取得补偿。</w:t>
      </w:r>
    </w:p>
    <w:p>
      <w:pPr>
        <w:pStyle w:val="6"/>
        <w:shd w:val="clear" w:color="auto" w:fill="auto"/>
        <w:overflowPunct w:val="0"/>
        <w:spacing w:line="440" w:lineRule="exact"/>
        <w:ind w:right="-1019" w:rightChars="-416"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(3)履约保证金（无息）将在卖方履行完合同义务，买方支付合同价款的五天内</w:t>
      </w:r>
    </w:p>
    <w:p>
      <w:pPr>
        <w:pStyle w:val="6"/>
        <w:shd w:val="clear" w:color="auto" w:fill="auto"/>
        <w:overflowPunct w:val="0"/>
        <w:spacing w:line="440" w:lineRule="exact"/>
        <w:ind w:right="-1019" w:rightChars="-416" w:firstLine="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退回。</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九.  合同的解除和转让</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18、合同的解除</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(1)买方和卖方协商一致，可以解除合同。</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(2)有下列情形之一，合同一方可以解除合同：</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&lt;1&gt;因不可抗力致使不能实现合同目的，未受不可抗力影响的一方有权解除合同；</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&lt;2&gt;因合同一方违约导致合同不能履行，另一方有权解除合同。</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(3)有权解除合同的一方，应当在违约事实或不可抗力发生之后三十天内书面通知对方以主张解除合同，合同在书面通知到达对方时解除。</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19、合同的转让</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合同的部分和全部都不得转让。</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 合同的生效</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20、合同的生效</w:t>
      </w:r>
    </w:p>
    <w:p>
      <w:pPr>
        <w:shd w:val="clear" w:color="auto" w:fill="auto"/>
        <w:spacing w:line="440" w:lineRule="exact"/>
        <w:ind w:firstLine="677" w:firstLineChars="277"/>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本合同在双方签字盖章并在招标人收到中标人提交的履约保证金后，经招标采购管理部门备案后生效。</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十一. 争议解决</w:t>
      </w:r>
    </w:p>
    <w:p>
      <w:pPr>
        <w:shd w:val="clear" w:color="auto" w:fill="auto"/>
        <w:spacing w:line="440" w:lineRule="exact"/>
        <w:ind w:firstLine="245"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21、争议解决</w:t>
      </w:r>
    </w:p>
    <w:p>
      <w:pPr>
        <w:pStyle w:val="6"/>
        <w:shd w:val="clear" w:color="auto" w:fill="auto"/>
        <w:overflowPunct w:val="0"/>
        <w:spacing w:line="440" w:lineRule="exact"/>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 xml:space="preserve"> 买卖双方因合同发生争议，进行调解，协商不成，可选择：</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(1)双方同时申请仲裁；</w:t>
      </w:r>
    </w:p>
    <w:p>
      <w:pPr>
        <w:pStyle w:val="6"/>
        <w:shd w:val="clear" w:color="auto" w:fill="auto"/>
        <w:tabs>
          <w:tab w:val="left" w:pos="900"/>
        </w:tabs>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(2)向买方所在地人民法院提起诉讼。</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十二 .附则</w:t>
      </w:r>
    </w:p>
    <w:p>
      <w:pPr>
        <w:shd w:val="clear" w:color="auto" w:fill="auto"/>
        <w:spacing w:line="440" w:lineRule="exact"/>
        <w:ind w:firstLine="245"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22、合同份数。</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本合同一式陆份，买卖双方各执二份，招标代理机构一份，招标采购管理部门一份。</w:t>
      </w:r>
    </w:p>
    <w:p>
      <w:pPr>
        <w:shd w:val="clear" w:color="auto" w:fill="auto"/>
        <w:spacing w:line="440" w:lineRule="exact"/>
        <w:ind w:firstLine="245"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23、未尽事宜</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本合同未尽事宜应按《中华人民共和国政府采购法》、《中华人民共和国合同法》、《中华人民共和国产品质量法》之规定解释。</w:t>
      </w:r>
    </w:p>
    <w:p>
      <w:pPr>
        <w:pStyle w:val="11"/>
        <w:shd w:val="clear" w:color="auto" w:fill="auto"/>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p>
    <w:p>
      <w:pPr>
        <w:outlineLvl w:val="9"/>
        <w:rPr>
          <w:rFonts w:hint="eastAsia" w:ascii="仿宋" w:hAnsi="仿宋" w:eastAsia="仿宋" w:cs="仿宋"/>
          <w:b/>
          <w:bCs/>
          <w:color w:val="auto"/>
          <w:spacing w:val="0"/>
          <w:w w:val="100"/>
          <w:position w:val="0"/>
          <w:sz w:val="36"/>
          <w:szCs w:val="36"/>
          <w:highlight w:val="none"/>
        </w:rPr>
      </w:pPr>
      <w:r>
        <w:rPr>
          <w:rFonts w:hint="eastAsia" w:ascii="仿宋" w:hAnsi="仿宋" w:eastAsia="仿宋" w:cs="仿宋"/>
          <w:b/>
          <w:bCs/>
          <w:color w:val="auto"/>
          <w:spacing w:val="0"/>
          <w:w w:val="100"/>
          <w:position w:val="0"/>
          <w:sz w:val="36"/>
          <w:szCs w:val="36"/>
          <w:highlight w:val="none"/>
        </w:rPr>
        <w:br w:type="page"/>
      </w:r>
    </w:p>
    <w:p>
      <w:pPr>
        <w:pStyle w:val="34"/>
        <w:keepNext/>
        <w:keepLines/>
        <w:widowControl w:val="0"/>
        <w:shd w:val="clear" w:color="auto" w:fill="auto"/>
        <w:bidi w:val="0"/>
        <w:spacing w:before="0" w:after="1160" w:line="240" w:lineRule="auto"/>
        <w:ind w:left="0" w:right="0" w:firstLine="0"/>
        <w:jc w:val="center"/>
        <w:outlineLvl w:val="0"/>
        <w:rPr>
          <w:rFonts w:hint="eastAsia" w:ascii="仿宋" w:hAnsi="仿宋" w:eastAsia="仿宋" w:cs="仿宋"/>
          <w:b/>
          <w:bCs/>
          <w:color w:val="auto"/>
          <w:sz w:val="36"/>
          <w:szCs w:val="36"/>
          <w:highlight w:val="none"/>
        </w:rPr>
      </w:pPr>
      <w:bookmarkStart w:id="81" w:name="_Toc14553"/>
      <w:bookmarkStart w:id="82" w:name="_Toc21488"/>
      <w:bookmarkStart w:id="83" w:name="_Toc3868"/>
      <w:r>
        <w:rPr>
          <w:rFonts w:hint="eastAsia" w:ascii="仿宋" w:hAnsi="仿宋" w:eastAsia="仿宋" w:cs="仿宋"/>
          <w:b/>
          <w:bCs/>
          <w:color w:val="auto"/>
          <w:spacing w:val="0"/>
          <w:w w:val="100"/>
          <w:position w:val="0"/>
          <w:sz w:val="36"/>
          <w:szCs w:val="36"/>
          <w:highlight w:val="none"/>
        </w:rPr>
        <w:t>第</w:t>
      </w:r>
      <w:r>
        <w:rPr>
          <w:rFonts w:hint="eastAsia" w:ascii="仿宋" w:hAnsi="仿宋" w:eastAsia="仿宋" w:cs="仿宋"/>
          <w:b/>
          <w:bCs/>
          <w:color w:val="auto"/>
          <w:spacing w:val="0"/>
          <w:w w:val="100"/>
          <w:position w:val="0"/>
          <w:sz w:val="36"/>
          <w:szCs w:val="36"/>
          <w:highlight w:val="none"/>
          <w:lang w:eastAsia="zh-CN"/>
        </w:rPr>
        <w:t>六</w:t>
      </w:r>
      <w:r>
        <w:rPr>
          <w:rFonts w:hint="eastAsia" w:ascii="仿宋" w:hAnsi="仿宋" w:eastAsia="仿宋" w:cs="仿宋"/>
          <w:b/>
          <w:bCs/>
          <w:color w:val="auto"/>
          <w:spacing w:val="0"/>
          <w:w w:val="100"/>
          <w:position w:val="0"/>
          <w:sz w:val="36"/>
          <w:szCs w:val="36"/>
          <w:highlight w:val="none"/>
        </w:rPr>
        <w:t>部分</w:t>
      </w:r>
      <w:r>
        <w:rPr>
          <w:rFonts w:hint="eastAsia" w:ascii="仿宋" w:hAnsi="仿宋" w:eastAsia="仿宋" w:cs="仿宋"/>
          <w:b/>
          <w:bCs/>
          <w:color w:val="auto"/>
          <w:spacing w:val="0"/>
          <w:w w:val="100"/>
          <w:position w:val="0"/>
          <w:sz w:val="36"/>
          <w:szCs w:val="36"/>
          <w:highlight w:val="none"/>
          <w:lang w:val="en-US" w:eastAsia="zh-CN"/>
        </w:rPr>
        <w:t xml:space="preserve">  </w:t>
      </w:r>
      <w:r>
        <w:rPr>
          <w:rFonts w:hint="eastAsia" w:ascii="仿宋" w:hAnsi="仿宋" w:eastAsia="仿宋" w:cs="仿宋"/>
          <w:b/>
          <w:bCs/>
          <w:color w:val="auto"/>
          <w:spacing w:val="0"/>
          <w:w w:val="100"/>
          <w:position w:val="0"/>
          <w:sz w:val="36"/>
          <w:szCs w:val="36"/>
          <w:highlight w:val="none"/>
        </w:rPr>
        <w:t>投标文件格式</w:t>
      </w:r>
      <w:bookmarkEnd w:id="81"/>
      <w:bookmarkEnd w:id="82"/>
      <w:bookmarkEnd w:id="83"/>
    </w:p>
    <w:p>
      <w:pPr>
        <w:adjustRightInd w:val="0"/>
        <w:snapToGrid w:val="0"/>
        <w:spacing w:line="360" w:lineRule="auto"/>
        <w:jc w:val="center"/>
        <w:outlineLvl w:val="9"/>
        <w:rPr>
          <w:rFonts w:hint="eastAsia" w:ascii="仿宋" w:hAnsi="仿宋" w:eastAsia="仿宋" w:cs="仿宋"/>
          <w:b/>
          <w:caps/>
          <w:color w:val="auto"/>
          <w:sz w:val="24"/>
          <w:szCs w:val="24"/>
          <w:highlight w:val="none"/>
        </w:rPr>
      </w:pPr>
      <w:bookmarkStart w:id="84" w:name="bookmark196"/>
    </w:p>
    <w:p>
      <w:pPr>
        <w:adjustRightInd w:val="0"/>
        <w:snapToGrid w:val="0"/>
        <w:spacing w:line="360" w:lineRule="auto"/>
        <w:jc w:val="center"/>
        <w:outlineLvl w:val="9"/>
        <w:rPr>
          <w:rFonts w:hint="eastAsia" w:ascii="仿宋" w:hAnsi="仿宋" w:eastAsia="仿宋" w:cs="仿宋"/>
          <w:bCs/>
          <w:color w:val="auto"/>
          <w:sz w:val="32"/>
          <w:szCs w:val="32"/>
          <w:highlight w:val="none"/>
        </w:rPr>
      </w:pPr>
      <w:r>
        <w:rPr>
          <w:rFonts w:hint="eastAsia" w:ascii="仿宋" w:hAnsi="仿宋" w:eastAsia="仿宋" w:cs="仿宋"/>
          <w:b/>
          <w:caps/>
          <w:color w:val="auto"/>
          <w:sz w:val="32"/>
          <w:szCs w:val="32"/>
          <w:highlight w:val="none"/>
        </w:rPr>
        <w:t>（项目名称）</w:t>
      </w:r>
    </w:p>
    <w:p>
      <w:pPr>
        <w:adjustRightInd w:val="0"/>
        <w:snapToGrid w:val="0"/>
        <w:spacing w:line="360" w:lineRule="auto"/>
        <w:jc w:val="both"/>
        <w:outlineLvl w:val="9"/>
        <w:rPr>
          <w:rFonts w:hint="eastAsia" w:ascii="仿宋" w:hAnsi="仿宋" w:eastAsia="仿宋" w:cs="仿宋"/>
          <w:bCs/>
          <w:color w:val="auto"/>
          <w:sz w:val="32"/>
          <w:szCs w:val="32"/>
          <w:highlight w:val="none"/>
        </w:rPr>
      </w:pPr>
    </w:p>
    <w:p>
      <w:pPr>
        <w:adjustRightInd w:val="0"/>
        <w:snapToGrid w:val="0"/>
        <w:spacing w:line="360" w:lineRule="auto"/>
        <w:jc w:val="center"/>
        <w:outlineLvl w:val="9"/>
        <w:rPr>
          <w:rFonts w:hint="eastAsia" w:ascii="仿宋" w:hAnsi="仿宋" w:eastAsia="仿宋" w:cs="仿宋"/>
          <w:bCs/>
          <w:color w:val="auto"/>
          <w:sz w:val="32"/>
          <w:szCs w:val="32"/>
          <w:highlight w:val="none"/>
        </w:rPr>
      </w:pPr>
    </w:p>
    <w:p>
      <w:pPr>
        <w:adjustRightInd w:val="0"/>
        <w:snapToGrid w:val="0"/>
        <w:spacing w:line="360" w:lineRule="auto"/>
        <w:jc w:val="center"/>
        <w:outlineLvl w:val="9"/>
        <w:rPr>
          <w:rFonts w:hint="eastAsia" w:ascii="仿宋" w:hAnsi="仿宋" w:eastAsia="仿宋" w:cs="仿宋"/>
          <w:bCs/>
          <w:color w:val="auto"/>
          <w:sz w:val="32"/>
          <w:szCs w:val="32"/>
          <w:highlight w:val="none"/>
          <w:lang w:eastAsia="zh-CN"/>
        </w:rPr>
      </w:pPr>
      <w:r>
        <w:rPr>
          <w:rFonts w:hint="eastAsia" w:ascii="仿宋" w:hAnsi="仿宋" w:eastAsia="仿宋" w:cs="仿宋"/>
          <w:b/>
          <w:bCs/>
          <w:color w:val="auto"/>
          <w:sz w:val="44"/>
          <w:szCs w:val="44"/>
          <w:highlight w:val="none"/>
          <w:lang w:eastAsia="zh-CN"/>
        </w:rPr>
        <w:t>投标文件</w:t>
      </w:r>
    </w:p>
    <w:p>
      <w:pPr>
        <w:adjustRightInd w:val="0"/>
        <w:snapToGrid w:val="0"/>
        <w:spacing w:line="360" w:lineRule="auto"/>
        <w:jc w:val="center"/>
        <w:outlineLvl w:val="9"/>
        <w:rPr>
          <w:rFonts w:hint="eastAsia" w:ascii="仿宋" w:hAnsi="仿宋" w:eastAsia="仿宋" w:cs="仿宋"/>
          <w:bCs/>
          <w:color w:val="auto"/>
          <w:sz w:val="32"/>
          <w:szCs w:val="32"/>
          <w:highlight w:val="none"/>
        </w:rPr>
      </w:pPr>
    </w:p>
    <w:p>
      <w:pPr>
        <w:adjustRightInd w:val="0"/>
        <w:snapToGrid w:val="0"/>
        <w:spacing w:line="360" w:lineRule="auto"/>
        <w:jc w:val="both"/>
        <w:outlineLvl w:val="9"/>
        <w:rPr>
          <w:rFonts w:hint="eastAsia" w:ascii="仿宋" w:hAnsi="仿宋" w:eastAsia="仿宋" w:cs="仿宋"/>
          <w:bCs/>
          <w:color w:val="auto"/>
          <w:sz w:val="32"/>
          <w:szCs w:val="32"/>
          <w:highlight w:val="none"/>
        </w:rPr>
      </w:pP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r>
        <w:rPr>
          <w:rFonts w:hint="eastAsia" w:ascii="仿宋" w:hAnsi="仿宋" w:eastAsia="仿宋" w:cs="仿宋"/>
          <w:b/>
          <w:caps/>
          <w:color w:val="auto"/>
          <w:spacing w:val="0"/>
          <w:kern w:val="0"/>
          <w:sz w:val="28"/>
          <w:szCs w:val="28"/>
          <w:highlight w:val="none"/>
          <w:fitText w:val="2810" w:id="1470909418"/>
        </w:rPr>
        <w:t>供应商名称（公章）：</w:t>
      </w: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r>
        <w:rPr>
          <w:rFonts w:hint="eastAsia" w:ascii="仿宋" w:hAnsi="仿宋" w:eastAsia="仿宋" w:cs="仿宋"/>
          <w:b/>
          <w:caps/>
          <w:color w:val="auto"/>
          <w:spacing w:val="0"/>
          <w:w w:val="77"/>
          <w:kern w:val="0"/>
          <w:sz w:val="28"/>
          <w:szCs w:val="28"/>
          <w:highlight w:val="none"/>
          <w:fitText w:val="2810" w:id="1"/>
        </w:rPr>
        <w:t>法定代表人（</w:t>
      </w:r>
      <w:r>
        <w:rPr>
          <w:rFonts w:hint="eastAsia" w:ascii="仿宋" w:hAnsi="仿宋" w:eastAsia="仿宋" w:cs="仿宋"/>
          <w:b/>
          <w:caps/>
          <w:color w:val="auto"/>
          <w:spacing w:val="0"/>
          <w:w w:val="77"/>
          <w:kern w:val="0"/>
          <w:sz w:val="28"/>
          <w:szCs w:val="28"/>
          <w:highlight w:val="none"/>
          <w:fitText w:val="2810" w:id="1"/>
          <w:lang w:eastAsia="zh-CN"/>
        </w:rPr>
        <w:t>签字</w:t>
      </w:r>
      <w:r>
        <w:rPr>
          <w:rFonts w:hint="eastAsia" w:ascii="仿宋" w:hAnsi="仿宋" w:eastAsia="仿宋" w:cs="仿宋"/>
          <w:b/>
          <w:caps/>
          <w:color w:val="auto"/>
          <w:spacing w:val="0"/>
          <w:w w:val="77"/>
          <w:kern w:val="0"/>
          <w:sz w:val="28"/>
          <w:szCs w:val="28"/>
          <w:highlight w:val="none"/>
          <w:fitText w:val="2810" w:id="1"/>
        </w:rPr>
        <w:t>或盖章）</w:t>
      </w:r>
      <w:r>
        <w:rPr>
          <w:rFonts w:hint="eastAsia" w:ascii="仿宋" w:hAnsi="仿宋" w:eastAsia="仿宋" w:cs="仿宋"/>
          <w:b/>
          <w:caps/>
          <w:color w:val="auto"/>
          <w:spacing w:val="-1"/>
          <w:w w:val="77"/>
          <w:kern w:val="0"/>
          <w:sz w:val="28"/>
          <w:szCs w:val="28"/>
          <w:highlight w:val="none"/>
          <w:fitText w:val="2810" w:id="1"/>
        </w:rPr>
        <w:t>：</w:t>
      </w: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r>
        <w:rPr>
          <w:rFonts w:hint="eastAsia" w:ascii="仿宋" w:hAnsi="仿宋" w:eastAsia="仿宋" w:cs="仿宋"/>
          <w:b/>
          <w:caps/>
          <w:color w:val="auto"/>
          <w:spacing w:val="113"/>
          <w:kern w:val="0"/>
          <w:sz w:val="28"/>
          <w:szCs w:val="28"/>
          <w:highlight w:val="none"/>
          <w:fitText w:val="2810" w:id="2"/>
        </w:rPr>
        <w:t>供应商地址</w:t>
      </w:r>
      <w:r>
        <w:rPr>
          <w:rFonts w:hint="eastAsia" w:ascii="仿宋" w:hAnsi="仿宋" w:eastAsia="仿宋" w:cs="仿宋"/>
          <w:b/>
          <w:caps/>
          <w:color w:val="auto"/>
          <w:spacing w:val="0"/>
          <w:kern w:val="0"/>
          <w:sz w:val="28"/>
          <w:szCs w:val="28"/>
          <w:highlight w:val="none"/>
          <w:fitText w:val="2810" w:id="2"/>
        </w:rPr>
        <w:t>：</w:t>
      </w: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r>
        <w:rPr>
          <w:rFonts w:hint="eastAsia" w:ascii="仿宋" w:hAnsi="仿宋" w:eastAsia="仿宋" w:cs="仿宋"/>
          <w:b/>
          <w:caps/>
          <w:color w:val="auto"/>
          <w:spacing w:val="281"/>
          <w:kern w:val="0"/>
          <w:sz w:val="28"/>
          <w:szCs w:val="28"/>
          <w:highlight w:val="none"/>
          <w:fitText w:val="2810" w:id="3"/>
        </w:rPr>
        <w:t>联系人</w:t>
      </w:r>
      <w:r>
        <w:rPr>
          <w:rFonts w:hint="eastAsia" w:ascii="仿宋" w:hAnsi="仿宋" w:eastAsia="仿宋" w:cs="仿宋"/>
          <w:b/>
          <w:caps/>
          <w:color w:val="auto"/>
          <w:spacing w:val="2"/>
          <w:kern w:val="0"/>
          <w:sz w:val="28"/>
          <w:szCs w:val="28"/>
          <w:highlight w:val="none"/>
          <w:fitText w:val="2810" w:id="3"/>
        </w:rPr>
        <w:t>：</w:t>
      </w: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p>
    <w:p>
      <w:pPr>
        <w:adjustRightInd w:val="0"/>
        <w:snapToGrid w:val="0"/>
        <w:spacing w:line="360" w:lineRule="auto"/>
        <w:ind w:right="-156" w:rightChars="-64"/>
        <w:outlineLvl w:val="9"/>
        <w:rPr>
          <w:rFonts w:hint="eastAsia" w:ascii="仿宋" w:hAnsi="仿宋" w:eastAsia="仿宋" w:cs="仿宋"/>
          <w:b/>
          <w:caps/>
          <w:color w:val="auto"/>
          <w:kern w:val="0"/>
          <w:sz w:val="28"/>
          <w:szCs w:val="28"/>
          <w:highlight w:val="none"/>
        </w:rPr>
      </w:pPr>
      <w:r>
        <w:rPr>
          <w:rFonts w:hint="eastAsia" w:ascii="仿宋" w:hAnsi="仿宋" w:eastAsia="仿宋" w:cs="仿宋"/>
          <w:b/>
          <w:caps/>
          <w:color w:val="auto"/>
          <w:spacing w:val="176"/>
          <w:kern w:val="0"/>
          <w:sz w:val="28"/>
          <w:szCs w:val="28"/>
          <w:highlight w:val="none"/>
          <w:fitText w:val="2810" w:id="4"/>
        </w:rPr>
        <w:t>联系电话</w:t>
      </w:r>
      <w:r>
        <w:rPr>
          <w:rFonts w:hint="eastAsia" w:ascii="仿宋" w:hAnsi="仿宋" w:eastAsia="仿宋" w:cs="仿宋"/>
          <w:b/>
          <w:caps/>
          <w:color w:val="auto"/>
          <w:spacing w:val="1"/>
          <w:kern w:val="0"/>
          <w:sz w:val="28"/>
          <w:szCs w:val="28"/>
          <w:highlight w:val="none"/>
          <w:fitText w:val="2810" w:id="4"/>
        </w:rPr>
        <w:t>：</w:t>
      </w:r>
    </w:p>
    <w:p>
      <w:pPr>
        <w:pStyle w:val="9"/>
        <w:numPr>
          <w:ilvl w:val="0"/>
          <w:numId w:val="0"/>
        </w:numPr>
        <w:ind w:leftChars="0" w:right="0" w:rightChars="0"/>
        <w:rPr>
          <w:rFonts w:hint="eastAsia"/>
          <w:highlight w:val="none"/>
        </w:rPr>
      </w:pPr>
    </w:p>
    <w:p>
      <w:pPr>
        <w:pStyle w:val="9"/>
        <w:numPr>
          <w:ilvl w:val="0"/>
          <w:numId w:val="0"/>
        </w:numPr>
        <w:ind w:leftChars="0" w:right="0" w:rightChars="0"/>
        <w:jc w:val="left"/>
        <w:rPr>
          <w:rFonts w:hint="default" w:eastAsia="仿宋"/>
          <w:highlight w:val="none"/>
          <w:lang w:val="en-US" w:eastAsia="zh-CN"/>
        </w:rPr>
      </w:pPr>
      <w:r>
        <w:rPr>
          <w:rFonts w:hint="eastAsia" w:ascii="仿宋" w:hAnsi="仿宋" w:eastAsia="仿宋" w:cs="仿宋"/>
          <w:b/>
          <w:caps/>
          <w:color w:val="auto"/>
          <w:kern w:val="0"/>
          <w:sz w:val="28"/>
          <w:szCs w:val="28"/>
          <w:highlight w:val="none"/>
          <w:lang w:val="en-US" w:eastAsia="zh-CN"/>
        </w:rPr>
        <w:t xml:space="preserve">日              期： </w:t>
      </w:r>
      <w:r>
        <w:rPr>
          <w:rFonts w:hint="eastAsia" w:ascii="仿宋" w:hAnsi="仿宋" w:eastAsia="仿宋" w:cs="仿宋"/>
          <w:b/>
          <w:caps/>
          <w:color w:val="auto"/>
          <w:kern w:val="0"/>
          <w:sz w:val="28"/>
          <w:szCs w:val="28"/>
          <w:highlight w:val="none"/>
          <w:u w:val="single"/>
          <w:lang w:val="en-US" w:eastAsia="zh-CN"/>
        </w:rPr>
        <w:t xml:space="preserve">       </w:t>
      </w:r>
      <w:r>
        <w:rPr>
          <w:rFonts w:hint="eastAsia" w:ascii="仿宋" w:hAnsi="仿宋" w:eastAsia="仿宋" w:cs="仿宋"/>
          <w:b/>
          <w:caps/>
          <w:color w:val="auto"/>
          <w:kern w:val="0"/>
          <w:sz w:val="28"/>
          <w:szCs w:val="28"/>
          <w:highlight w:val="none"/>
          <w:lang w:val="en-US" w:eastAsia="zh-CN"/>
        </w:rPr>
        <w:t>年</w:t>
      </w:r>
      <w:r>
        <w:rPr>
          <w:rFonts w:hint="eastAsia" w:ascii="仿宋" w:hAnsi="仿宋" w:eastAsia="仿宋" w:cs="仿宋"/>
          <w:b/>
          <w:caps/>
          <w:color w:val="auto"/>
          <w:kern w:val="0"/>
          <w:sz w:val="28"/>
          <w:szCs w:val="28"/>
          <w:highlight w:val="none"/>
          <w:u w:val="single"/>
          <w:lang w:val="en-US" w:eastAsia="zh-CN"/>
        </w:rPr>
        <w:t xml:space="preserve">       </w:t>
      </w:r>
      <w:r>
        <w:rPr>
          <w:rFonts w:hint="eastAsia" w:ascii="仿宋" w:hAnsi="仿宋" w:eastAsia="仿宋" w:cs="仿宋"/>
          <w:b/>
          <w:caps/>
          <w:color w:val="auto"/>
          <w:kern w:val="0"/>
          <w:sz w:val="28"/>
          <w:szCs w:val="28"/>
          <w:highlight w:val="none"/>
          <w:lang w:val="en-US" w:eastAsia="zh-CN"/>
        </w:rPr>
        <w:t xml:space="preserve"> 月</w:t>
      </w:r>
      <w:r>
        <w:rPr>
          <w:rFonts w:hint="eastAsia" w:ascii="仿宋" w:hAnsi="仿宋" w:eastAsia="仿宋" w:cs="仿宋"/>
          <w:b/>
          <w:caps/>
          <w:color w:val="auto"/>
          <w:kern w:val="0"/>
          <w:sz w:val="28"/>
          <w:szCs w:val="28"/>
          <w:highlight w:val="none"/>
          <w:u w:val="single"/>
          <w:lang w:val="en-US" w:eastAsia="zh-CN"/>
        </w:rPr>
        <w:t xml:space="preserve">       </w:t>
      </w:r>
      <w:r>
        <w:rPr>
          <w:rFonts w:hint="eastAsia" w:ascii="仿宋" w:hAnsi="仿宋" w:eastAsia="仿宋" w:cs="仿宋"/>
          <w:b/>
          <w:caps/>
          <w:color w:val="auto"/>
          <w:kern w:val="0"/>
          <w:sz w:val="28"/>
          <w:szCs w:val="28"/>
          <w:highlight w:val="none"/>
          <w:lang w:val="en-US" w:eastAsia="zh-CN"/>
        </w:rPr>
        <w:t>日</w:t>
      </w:r>
    </w:p>
    <w:p>
      <w:pPr>
        <w:adjustRightInd w:val="0"/>
        <w:snapToGrid w:val="0"/>
        <w:spacing w:line="360" w:lineRule="auto"/>
        <w:jc w:val="center"/>
        <w:outlineLvl w:val="9"/>
        <w:rPr>
          <w:rFonts w:hint="eastAsia" w:ascii="仿宋" w:hAnsi="仿宋" w:eastAsia="仿宋" w:cs="仿宋"/>
          <w:b/>
          <w:caps/>
          <w:color w:val="auto"/>
          <w:sz w:val="28"/>
          <w:szCs w:val="28"/>
          <w:highlight w:val="none"/>
        </w:rPr>
      </w:pPr>
    </w:p>
    <w:p>
      <w:pPr>
        <w:pStyle w:val="36"/>
        <w:keepNext w:val="0"/>
        <w:keepLines w:val="0"/>
        <w:widowControl w:val="0"/>
        <w:shd w:val="clear" w:color="auto" w:fill="auto"/>
        <w:bidi w:val="0"/>
        <w:spacing w:before="0" w:after="340" w:line="240" w:lineRule="auto"/>
        <w:ind w:left="0" w:right="0" w:firstLine="0"/>
        <w:jc w:val="left"/>
        <w:outlineLvl w:val="9"/>
        <w:rPr>
          <w:rFonts w:hint="eastAsia" w:ascii="仿宋" w:hAnsi="仿宋" w:eastAsia="仿宋" w:cs="仿宋"/>
          <w:color w:val="auto"/>
          <w:spacing w:val="0"/>
          <w:w w:val="100"/>
          <w:position w:val="0"/>
          <w:highlight w:val="none"/>
        </w:rPr>
      </w:pPr>
    </w:p>
    <w:p>
      <w:pPr>
        <w:pStyle w:val="36"/>
        <w:keepNext w:val="0"/>
        <w:keepLines w:val="0"/>
        <w:widowControl w:val="0"/>
        <w:shd w:val="clear" w:color="auto" w:fill="auto"/>
        <w:bidi w:val="0"/>
        <w:spacing w:before="0" w:after="340" w:line="240" w:lineRule="auto"/>
        <w:ind w:left="0" w:right="0" w:firstLine="0"/>
        <w:jc w:val="left"/>
        <w:outlineLvl w:val="9"/>
        <w:rPr>
          <w:rFonts w:hint="eastAsia" w:ascii="仿宋" w:hAnsi="仿宋" w:eastAsia="仿宋" w:cs="仿宋"/>
          <w:color w:val="auto"/>
          <w:spacing w:val="0"/>
          <w:w w:val="100"/>
          <w:position w:val="0"/>
          <w:highlight w:val="none"/>
        </w:rPr>
      </w:pPr>
    </w:p>
    <w:bookmarkEnd w:id="84"/>
    <w:p>
      <w:pPr>
        <w:numPr>
          <w:ilvl w:val="0"/>
          <w:numId w:val="0"/>
        </w:numPr>
        <w:shd w:val="clear" w:color="auto" w:fill="auto"/>
        <w:tabs>
          <w:tab w:val="left" w:pos="540"/>
        </w:tabs>
        <w:spacing w:before="0" w:line="240" w:lineRule="atLeast"/>
        <w:outlineLvl w:val="9"/>
        <w:rPr>
          <w:rFonts w:hint="eastAsia" w:ascii="仿宋" w:hAnsi="仿宋" w:eastAsia="仿宋" w:cs="仿宋"/>
          <w:b/>
          <w:bCs/>
          <w:color w:val="auto"/>
          <w:sz w:val="24"/>
          <w:highlight w:val="none"/>
        </w:rPr>
      </w:pPr>
      <w:bookmarkStart w:id="85" w:name="_Toc18694"/>
      <w:bookmarkStart w:id="86" w:name="_Toc515647803"/>
      <w:bookmarkStart w:id="87" w:name="_Toc8919"/>
      <w:bookmarkStart w:id="88" w:name="_Toc18974"/>
    </w:p>
    <w:p>
      <w:pPr>
        <w:numPr>
          <w:ilvl w:val="0"/>
          <w:numId w:val="0"/>
        </w:numPr>
        <w:shd w:val="clear" w:color="auto" w:fill="auto"/>
        <w:tabs>
          <w:tab w:val="left" w:pos="540"/>
        </w:tabs>
        <w:spacing w:before="0" w:line="240" w:lineRule="atLeast"/>
        <w:outlineLvl w:val="9"/>
        <w:rPr>
          <w:rFonts w:hint="eastAsia"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第一部分 资格证明文件</w:t>
      </w:r>
      <w:bookmarkEnd w:id="85"/>
      <w:bookmarkEnd w:id="86"/>
      <w:bookmarkEnd w:id="87"/>
      <w:bookmarkEnd w:id="88"/>
    </w:p>
    <w:p>
      <w:pPr>
        <w:shd w:val="clear" w:color="auto" w:fill="auto"/>
        <w:spacing w:line="240" w:lineRule="atLeast"/>
        <w:ind w:left="708" w:hanging="722" w:hangingChars="295"/>
        <w:jc w:val="center"/>
        <w:outlineLvl w:val="9"/>
        <w:rPr>
          <w:rFonts w:hint="eastAsia" w:ascii="仿宋" w:hAnsi="仿宋" w:eastAsia="仿宋" w:cs="仿宋"/>
          <w:color w:val="auto"/>
          <w:sz w:val="24"/>
          <w:highlight w:val="none"/>
        </w:rPr>
      </w:pP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、法人或者非法人组织的营业执照等证明文件复印件（须加盖本单位章）或自然人的身份证明复印件;</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、法定代表人资格证明书</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法定代表人授权书</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4、投标保证金收据或保函等票据</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投标企业须提供投标人（被授权在职人员）近期社保证明</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、参加政府采购活动前3年内在经营活动中没有重大违法记录的书面声明;</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7、未被“信用中国”（www.creditchina.gov.cn）、中国政府采购网（www.ccgp.gov.cn）列入失信被执行人、重大税收违法案件当事人名单、政府采购严</w:t>
      </w:r>
      <w:r>
        <w:rPr>
          <w:rFonts w:hint="eastAsia" w:ascii="仿宋" w:hAnsi="仿宋" w:eastAsia="仿宋" w:cs="仿宋"/>
          <w:color w:val="auto"/>
          <w:sz w:val="24"/>
          <w:highlight w:val="none"/>
          <w:lang w:val="en-US" w:eastAsia="zh-CN"/>
        </w:rPr>
        <w:t>重违法失信行为记录名单（提供查询结果网页截图并加盖供应商公章）</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kern w:val="0"/>
          <w:sz w:val="24"/>
          <w:szCs w:val="24"/>
          <w:highlight w:val="none"/>
          <w:lang w:bidi="ar"/>
        </w:rPr>
        <w:t>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投标人须知资料表要求的其他资格证明文件;</w:t>
      </w:r>
    </w:p>
    <w:p>
      <w:pPr>
        <w:pStyle w:val="9"/>
        <w:numPr>
          <w:ilvl w:val="0"/>
          <w:numId w:val="0"/>
        </w:numPr>
        <w:kinsoku w:val="0"/>
        <w:overflowPunct w:val="0"/>
        <w:spacing w:before="130" w:line="355" w:lineRule="auto"/>
        <w:ind w:left="480" w:leftChars="0" w:right="7" w:rightChars="0"/>
        <w:jc w:val="center"/>
        <w:outlineLvl w:val="9"/>
        <w:rPr>
          <w:rFonts w:hint="eastAsia" w:ascii="仿宋" w:hAnsi="仿宋" w:eastAsia="仿宋" w:cs="仿宋"/>
          <w:b/>
          <w:bCs/>
          <w:color w:val="auto"/>
          <w:sz w:val="36"/>
          <w:szCs w:val="36"/>
          <w:highlight w:val="none"/>
        </w:rPr>
      </w:pPr>
    </w:p>
    <w:p>
      <w:pPr>
        <w:pStyle w:val="9"/>
        <w:numPr>
          <w:ilvl w:val="0"/>
          <w:numId w:val="0"/>
        </w:numPr>
        <w:kinsoku w:val="0"/>
        <w:overflowPunct w:val="0"/>
        <w:spacing w:before="130" w:line="355" w:lineRule="auto"/>
        <w:ind w:left="480" w:leftChars="0" w:right="7" w:rightChars="0"/>
        <w:jc w:val="cente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shd w:val="clear" w:color="auto" w:fill="auto"/>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lang w:val="en-US" w:eastAsia="zh-CN"/>
        </w:rPr>
      </w:pPr>
      <w:bookmarkStart w:id="89" w:name="_Toc515647805"/>
      <w:bookmarkStart w:id="90" w:name="_Toc17577"/>
      <w:bookmarkStart w:id="91" w:name="_Toc29899"/>
      <w:bookmarkStart w:id="92" w:name="_Toc4844"/>
      <w:r>
        <w:rPr>
          <w:rFonts w:hint="eastAsia" w:ascii="仿宋" w:hAnsi="仿宋" w:eastAsia="仿宋" w:cs="仿宋"/>
          <w:b/>
          <w:bCs/>
          <w:color w:val="auto"/>
          <w:sz w:val="36"/>
          <w:szCs w:val="36"/>
          <w:highlight w:val="none"/>
          <w:lang w:val="en-US" w:eastAsia="zh-CN"/>
        </w:rPr>
        <w:t>1、 法人或者非法人组织的营业执照等证明文件</w:t>
      </w:r>
      <w:bookmarkEnd w:id="89"/>
      <w:bookmarkStart w:id="93" w:name="_Toc515647806"/>
      <w:r>
        <w:rPr>
          <w:rFonts w:hint="eastAsia" w:ascii="仿宋" w:hAnsi="仿宋" w:eastAsia="仿宋" w:cs="仿宋"/>
          <w:b/>
          <w:bCs/>
          <w:color w:val="auto"/>
          <w:sz w:val="36"/>
          <w:szCs w:val="36"/>
          <w:highlight w:val="none"/>
          <w:lang w:val="en-US" w:eastAsia="zh-CN"/>
        </w:rPr>
        <w:t>或自然人的身份证明</w:t>
      </w:r>
      <w:bookmarkEnd w:id="90"/>
      <w:bookmarkEnd w:id="91"/>
      <w:bookmarkEnd w:id="92"/>
      <w:bookmarkEnd w:id="93"/>
    </w:p>
    <w:p>
      <w:pPr>
        <w:pStyle w:val="13"/>
        <w:pageBreakBefore w:val="0"/>
        <w:widowControl w:val="0"/>
        <w:shd w:val="clear" w:color="auto" w:fill="auto"/>
        <w:tabs>
          <w:tab w:val="left" w:pos="5580"/>
        </w:tabs>
        <w:kinsoku/>
        <w:wordWrap/>
        <w:overflowPunct/>
        <w:topLinePunct w:val="0"/>
        <w:autoSpaceDE/>
        <w:autoSpaceDN/>
        <w:bidi w:val="0"/>
        <w:snapToGrid/>
        <w:spacing w:line="400" w:lineRule="exact"/>
        <w:ind w:left="1169" w:leftChars="257" w:hanging="540"/>
        <w:jc w:val="center"/>
        <w:outlineLvl w:val="9"/>
        <w:rPr>
          <w:rFonts w:hint="eastAsia" w:ascii="仿宋" w:hAnsi="仿宋" w:eastAsia="仿宋" w:cs="仿宋"/>
          <w:b/>
          <w:color w:val="auto"/>
          <w:sz w:val="24"/>
          <w:highlight w:val="none"/>
        </w:rPr>
      </w:pPr>
    </w:p>
    <w:p>
      <w:pPr>
        <w:pStyle w:val="13"/>
        <w:pageBreakBefore w:val="0"/>
        <w:widowControl w:val="0"/>
        <w:shd w:val="clear" w:color="auto" w:fill="auto"/>
        <w:tabs>
          <w:tab w:val="left" w:pos="5580"/>
        </w:tabs>
        <w:kinsoku/>
        <w:wordWrap/>
        <w:overflowPunct/>
        <w:topLinePunct w:val="0"/>
        <w:autoSpaceDE/>
        <w:autoSpaceDN/>
        <w:bidi w:val="0"/>
        <w:snapToGrid/>
        <w:spacing w:line="400" w:lineRule="exact"/>
        <w:ind w:left="1169" w:leftChars="257" w:hanging="540"/>
        <w:outlineLvl w:val="9"/>
        <w:rPr>
          <w:rFonts w:hint="eastAsia" w:ascii="仿宋" w:hAnsi="仿宋" w:eastAsia="仿宋" w:cs="仿宋"/>
          <w:b/>
          <w:color w:val="auto"/>
          <w:sz w:val="24"/>
          <w:highlight w:val="none"/>
        </w:rPr>
      </w:pPr>
    </w:p>
    <w:p>
      <w:pPr>
        <w:pStyle w:val="13"/>
        <w:pageBreakBefore w:val="0"/>
        <w:widowControl w:val="0"/>
        <w:shd w:val="clear" w:color="auto" w:fill="auto"/>
        <w:tabs>
          <w:tab w:val="left" w:pos="5580"/>
        </w:tabs>
        <w:kinsoku/>
        <w:wordWrap/>
        <w:overflowPunct/>
        <w:topLinePunct w:val="0"/>
        <w:autoSpaceDE/>
        <w:autoSpaceDN/>
        <w:bidi w:val="0"/>
        <w:snapToGrid/>
        <w:spacing w:line="400" w:lineRule="exact"/>
        <w:ind w:left="1169" w:leftChars="257" w:hanging="540"/>
        <w:outlineLvl w:val="9"/>
        <w:rPr>
          <w:rFonts w:hint="eastAsia" w:ascii="仿宋" w:hAnsi="仿宋" w:eastAsia="仿宋" w:cs="仿宋"/>
          <w:b/>
          <w:color w:val="auto"/>
          <w:sz w:val="24"/>
          <w:highlight w:val="none"/>
        </w:rPr>
      </w:pP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说明：1.提供有效的营业执照等证明文件复印件，复印件上应加盖本单位章。</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      2. 投标人为自然人的，应提供身份证明的复印件。</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32"/>
        <w:outlineLvl w:val="9"/>
        <w:rPr>
          <w:rFonts w:hint="eastAsia" w:ascii="仿宋" w:hAnsi="仿宋" w:eastAsia="仿宋" w:cs="仿宋"/>
          <w:b/>
          <w:bCs/>
          <w:color w:val="auto"/>
          <w:sz w:val="36"/>
          <w:szCs w:val="36"/>
          <w:highlight w:val="none"/>
        </w:rPr>
      </w:pPr>
    </w:p>
    <w:p>
      <w:pPr>
        <w:outlineLvl w:val="9"/>
        <w:rPr>
          <w:rFonts w:hint="eastAsia"/>
          <w:highlight w:val="none"/>
        </w:rPr>
      </w:pPr>
    </w:p>
    <w:p>
      <w:pPr>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lang w:val="en-US" w:eastAsia="zh-CN"/>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color w:val="auto"/>
          <w:sz w:val="36"/>
          <w:szCs w:val="36"/>
          <w:highlight w:val="none"/>
        </w:rPr>
      </w:pPr>
      <w:r>
        <w:rPr>
          <w:rFonts w:hint="eastAsia" w:ascii="仿宋" w:hAnsi="仿宋" w:eastAsia="仿宋" w:cs="仿宋"/>
          <w:b/>
          <w:bCs/>
          <w:color w:val="auto"/>
          <w:sz w:val="36"/>
          <w:szCs w:val="36"/>
          <w:highlight w:val="none"/>
          <w:lang w:val="en-US" w:eastAsia="zh-CN"/>
        </w:rPr>
        <w:t>2</w:t>
      </w:r>
      <w:r>
        <w:rPr>
          <w:rFonts w:hint="eastAsia" w:ascii="仿宋" w:hAnsi="仿宋" w:eastAsia="仿宋" w:cs="仿宋"/>
          <w:b/>
          <w:bCs/>
          <w:color w:val="auto"/>
          <w:sz w:val="36"/>
          <w:szCs w:val="36"/>
          <w:highlight w:val="none"/>
        </w:rPr>
        <w:t>、法定代表人身份证明</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投标单位名称：</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单位性质：</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地址：</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经营期限：</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职务：</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身份证号码：</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（投标单位名称）的法定代表人。</w:t>
      </w:r>
    </w:p>
    <w:p>
      <w:pPr>
        <w:spacing w:line="420" w:lineRule="exact"/>
        <w:ind w:firstLine="980" w:firstLineChars="4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pPr>
        <w:pStyle w:val="9"/>
        <w:numPr>
          <w:ilvl w:val="0"/>
          <w:numId w:val="0"/>
        </w:numPr>
        <w:kinsoku w:val="0"/>
        <w:overflowPunct w:val="0"/>
        <w:ind w:leftChars="0" w:right="0" w:rightChars="0"/>
        <w:outlineLvl w:val="9"/>
        <w:rPr>
          <w:rFonts w:hint="eastAsia" w:ascii="仿宋" w:hAnsi="仿宋" w:eastAsia="仿宋" w:cs="仿宋"/>
          <w:color w:val="auto"/>
          <w:sz w:val="20"/>
          <w:szCs w:val="20"/>
          <w:highlight w:val="none"/>
        </w:rPr>
      </w:pPr>
    </w:p>
    <w:p>
      <w:pPr>
        <w:pStyle w:val="9"/>
        <w:numPr>
          <w:ilvl w:val="0"/>
          <w:numId w:val="0"/>
        </w:numPr>
        <w:kinsoku w:val="0"/>
        <w:overflowPunct w:val="0"/>
        <w:spacing w:before="7"/>
        <w:ind w:leftChars="0" w:right="0" w:rightChars="0"/>
        <w:outlineLvl w:val="9"/>
        <w:rPr>
          <w:rFonts w:hint="eastAsia" w:ascii="仿宋" w:hAnsi="仿宋" w:eastAsia="仿宋" w:cs="仿宋"/>
          <w:color w:val="auto"/>
          <w:sz w:val="25"/>
          <w:szCs w:val="25"/>
          <w:highlight w:val="none"/>
        </w:rPr>
      </w:pPr>
    </w:p>
    <w:p>
      <w:pPr>
        <w:pStyle w:val="9"/>
        <w:numPr>
          <w:ilvl w:val="0"/>
          <w:numId w:val="0"/>
        </w:numPr>
        <w:kinsoku w:val="0"/>
        <w:overflowPunct w:val="0"/>
        <w:spacing w:line="200" w:lineRule="atLeast"/>
        <w:ind w:right="0" w:rightChars="0"/>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mc:AlternateContent>
          <mc:Choice Requires="wpg">
            <w:drawing>
              <wp:inline distT="0" distB="0" distL="114300" distR="114300">
                <wp:extent cx="5136515" cy="1458595"/>
                <wp:effectExtent l="0" t="0" r="47625" b="29845"/>
                <wp:docPr id="34" name="组合 34"/>
                <wp:cNvGraphicFramePr/>
                <a:graphic xmlns:a="http://schemas.openxmlformats.org/drawingml/2006/main">
                  <a:graphicData uri="http://schemas.microsoft.com/office/word/2010/wordprocessingGroup">
                    <wpg:wgp>
                      <wpg:cNvGrpSpPr>
                        <a:grpSpLocks noRot="1"/>
                      </wpg:cNvGrpSpPr>
                      <wpg:grpSpPr>
                        <a:xfrm>
                          <a:off x="0" y="0"/>
                          <a:ext cx="5136515" cy="1458595"/>
                          <a:chOff x="0" y="0"/>
                          <a:chExt cx="8089" cy="2297"/>
                        </a:xfrm>
                      </wpg:grpSpPr>
                      <wps:wsp>
                        <wps:cNvPr id="14" name="任意多边形 14"/>
                        <wps:cNvSpPr/>
                        <wps:spPr>
                          <a:xfrm>
                            <a:off x="4" y="9"/>
                            <a:ext cx="8079" cy="20"/>
                          </a:xfrm>
                          <a:custGeom>
                            <a:avLst/>
                            <a:gdLst/>
                            <a:ahLst/>
                            <a:cxnLst/>
                            <a:pathLst>
                              <a:path w="8079" h="20">
                                <a:moveTo>
                                  <a:pt x="0" y="0"/>
                                </a:moveTo>
                                <a:lnTo>
                                  <a:pt x="8078" y="0"/>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15" name="任意多边形 15"/>
                        <wps:cNvSpPr/>
                        <wps:spPr>
                          <a:xfrm>
                            <a:off x="24" y="28"/>
                            <a:ext cx="8041" cy="20"/>
                          </a:xfrm>
                          <a:custGeom>
                            <a:avLst/>
                            <a:gdLst/>
                            <a:ahLst/>
                            <a:cxnLst/>
                            <a:pathLst>
                              <a:path w="8041" h="20">
                                <a:moveTo>
                                  <a:pt x="0" y="0"/>
                                </a:moveTo>
                                <a:lnTo>
                                  <a:pt x="8040" y="0"/>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16" name="任意多边形 16"/>
                        <wps:cNvSpPr/>
                        <wps:spPr>
                          <a:xfrm>
                            <a:off x="24" y="2267"/>
                            <a:ext cx="8041" cy="20"/>
                          </a:xfrm>
                          <a:custGeom>
                            <a:avLst/>
                            <a:gdLst/>
                            <a:ahLst/>
                            <a:cxnLst/>
                            <a:pathLst>
                              <a:path w="8041" h="20">
                                <a:moveTo>
                                  <a:pt x="0" y="0"/>
                                </a:moveTo>
                                <a:lnTo>
                                  <a:pt x="8040" y="0"/>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17" name="任意多边形 17"/>
                        <wps:cNvSpPr/>
                        <wps:spPr>
                          <a:xfrm>
                            <a:off x="4" y="2286"/>
                            <a:ext cx="8079" cy="20"/>
                          </a:xfrm>
                          <a:custGeom>
                            <a:avLst/>
                            <a:gdLst/>
                            <a:ahLst/>
                            <a:cxnLst/>
                            <a:pathLst>
                              <a:path w="8079" h="20">
                                <a:moveTo>
                                  <a:pt x="0" y="0"/>
                                </a:moveTo>
                                <a:lnTo>
                                  <a:pt x="8078" y="0"/>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19" name="任意多边形 19"/>
                        <wps:cNvSpPr/>
                        <wps:spPr>
                          <a:xfrm>
                            <a:off x="9" y="4"/>
                            <a:ext cx="20" cy="2287"/>
                          </a:xfrm>
                          <a:custGeom>
                            <a:avLst/>
                            <a:gdLst/>
                            <a:ahLst/>
                            <a:cxnLst/>
                            <a:pathLst>
                              <a:path w="20" h="2287">
                                <a:moveTo>
                                  <a:pt x="0" y="0"/>
                                </a:moveTo>
                                <a:lnTo>
                                  <a:pt x="0" y="2286"/>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0" name="任意多边形 20"/>
                        <wps:cNvSpPr/>
                        <wps:spPr>
                          <a:xfrm>
                            <a:off x="28" y="24"/>
                            <a:ext cx="20" cy="2249"/>
                          </a:xfrm>
                          <a:custGeom>
                            <a:avLst/>
                            <a:gdLst/>
                            <a:ahLst/>
                            <a:cxnLst/>
                            <a:pathLst>
                              <a:path w="20" h="2249">
                                <a:moveTo>
                                  <a:pt x="0" y="0"/>
                                </a:moveTo>
                                <a:lnTo>
                                  <a:pt x="0" y="2248"/>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1" name="任意多边形 21"/>
                        <wps:cNvSpPr/>
                        <wps:spPr>
                          <a:xfrm>
                            <a:off x="4034" y="24"/>
                            <a:ext cx="20" cy="2239"/>
                          </a:xfrm>
                          <a:custGeom>
                            <a:avLst/>
                            <a:gdLst/>
                            <a:ahLst/>
                            <a:cxnLst/>
                            <a:pathLst>
                              <a:path w="20" h="2239">
                                <a:moveTo>
                                  <a:pt x="0" y="0"/>
                                </a:moveTo>
                                <a:lnTo>
                                  <a:pt x="0" y="2238"/>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2" name="任意多边形 22"/>
                        <wps:cNvSpPr/>
                        <wps:spPr>
                          <a:xfrm>
                            <a:off x="4053" y="24"/>
                            <a:ext cx="20" cy="2239"/>
                          </a:xfrm>
                          <a:custGeom>
                            <a:avLst/>
                            <a:gdLst/>
                            <a:ahLst/>
                            <a:cxnLst/>
                            <a:pathLst>
                              <a:path w="20" h="2239">
                                <a:moveTo>
                                  <a:pt x="0" y="0"/>
                                </a:moveTo>
                                <a:lnTo>
                                  <a:pt x="0" y="2238"/>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3" name="任意多边形 23"/>
                        <wps:cNvSpPr/>
                        <wps:spPr>
                          <a:xfrm>
                            <a:off x="8059" y="33"/>
                            <a:ext cx="20" cy="2239"/>
                          </a:xfrm>
                          <a:custGeom>
                            <a:avLst/>
                            <a:gdLst/>
                            <a:ahLst/>
                            <a:cxnLst/>
                            <a:pathLst>
                              <a:path w="20" h="2239">
                                <a:moveTo>
                                  <a:pt x="0" y="0"/>
                                </a:moveTo>
                                <a:lnTo>
                                  <a:pt x="0" y="2238"/>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4" name="任意多边形 24"/>
                        <wps:cNvSpPr/>
                        <wps:spPr>
                          <a:xfrm>
                            <a:off x="8078" y="14"/>
                            <a:ext cx="20" cy="2278"/>
                          </a:xfrm>
                          <a:custGeom>
                            <a:avLst/>
                            <a:gdLst/>
                            <a:ahLst/>
                            <a:cxnLst/>
                            <a:pathLst>
                              <a:path w="20" h="2278">
                                <a:moveTo>
                                  <a:pt x="0" y="0"/>
                                </a:moveTo>
                                <a:lnTo>
                                  <a:pt x="0" y="2277"/>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7" name="文本框 27"/>
                        <wps:cNvSpPr txBox="1"/>
                        <wps:spPr>
                          <a:xfrm>
                            <a:off x="19" y="19"/>
                            <a:ext cx="4025" cy="2258"/>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9"/>
                                <w:numPr>
                                  <w:ilvl w:val="0"/>
                                  <w:numId w:val="0"/>
                                </w:numPr>
                                <w:kinsoku w:val="0"/>
                                <w:overflowPunct w:val="0"/>
                                <w:spacing w:before="13"/>
                                <w:ind w:leftChars="0" w:right="0" w:rightChars="0"/>
                                <w:rPr>
                                  <w:rFonts w:hint="eastAsia"/>
                                  <w:sz w:val="28"/>
                                  <w:szCs w:val="28"/>
                                </w:rPr>
                              </w:pPr>
                            </w:p>
                            <w:p>
                              <w:pPr>
                                <w:pStyle w:val="9"/>
                                <w:numPr>
                                  <w:ilvl w:val="0"/>
                                  <w:numId w:val="0"/>
                                </w:numPr>
                                <w:kinsoku w:val="0"/>
                                <w:overflowPunct w:val="0"/>
                                <w:ind w:right="0" w:rightChars="0"/>
                                <w:jc w:val="center"/>
                                <w:rPr>
                                  <w:rFonts w:hint="eastAsia" w:ascii="仿宋" w:hAnsi="仿宋" w:eastAsia="仿宋" w:cs="仿宋"/>
                                  <w:b/>
                                  <w:bCs/>
                                  <w:sz w:val="24"/>
                                  <w:szCs w:val="24"/>
                                </w:rPr>
                              </w:pPr>
                              <w:r>
                                <w:rPr>
                                  <w:rFonts w:hint="eastAsia" w:ascii="仿宋" w:hAnsi="仿宋" w:eastAsia="仿宋" w:cs="仿宋"/>
                                  <w:b/>
                                  <w:bCs/>
                                  <w:sz w:val="24"/>
                                  <w:szCs w:val="24"/>
                                </w:rPr>
                                <w:t>法定代表人身份证复印件（正面）</w:t>
                              </w:r>
                            </w:p>
                          </w:txbxContent>
                        </wps:txbx>
                        <wps:bodyPr lIns="0" tIns="0" rIns="0" bIns="0" upright="1"/>
                      </wps:wsp>
                      <wps:wsp>
                        <wps:cNvPr id="32" name="文本框 32"/>
                        <wps:cNvSpPr txBox="1"/>
                        <wps:spPr>
                          <a:xfrm>
                            <a:off x="4044" y="19"/>
                            <a:ext cx="4025" cy="2258"/>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9"/>
                                <w:numPr>
                                  <w:ilvl w:val="0"/>
                                  <w:numId w:val="0"/>
                                </w:numPr>
                                <w:kinsoku w:val="0"/>
                                <w:overflowPunct w:val="0"/>
                                <w:spacing w:before="13"/>
                                <w:ind w:leftChars="0" w:right="0" w:rightChars="0"/>
                                <w:rPr>
                                  <w:rFonts w:hint="eastAsia"/>
                                  <w:sz w:val="28"/>
                                  <w:szCs w:val="28"/>
                                </w:rPr>
                              </w:pPr>
                            </w:p>
                            <w:p>
                              <w:pPr>
                                <w:pStyle w:val="9"/>
                                <w:numPr>
                                  <w:ilvl w:val="0"/>
                                  <w:numId w:val="0"/>
                                </w:numPr>
                                <w:kinsoku w:val="0"/>
                                <w:overflowPunct w:val="0"/>
                                <w:ind w:right="0" w:rightChars="0" w:firstLine="241" w:firstLineChars="100"/>
                                <w:rPr>
                                  <w:rFonts w:hint="eastAsia" w:ascii="仿宋" w:hAnsi="仿宋" w:eastAsia="仿宋" w:cs="仿宋"/>
                                  <w:sz w:val="24"/>
                                  <w:szCs w:val="24"/>
                                </w:rPr>
                              </w:pPr>
                              <w:r>
                                <w:rPr>
                                  <w:rFonts w:hint="eastAsia" w:ascii="仿宋" w:hAnsi="仿宋" w:eastAsia="仿宋" w:cs="仿宋"/>
                                  <w:b/>
                                  <w:bCs/>
                                  <w:sz w:val="24"/>
                                  <w:szCs w:val="24"/>
                                </w:rPr>
                                <w:t>法定代表人身份证复印件（反面）</w:t>
                              </w:r>
                            </w:p>
                          </w:txbxContent>
                        </wps:txbx>
                        <wps:bodyPr lIns="0" tIns="0" rIns="0" bIns="0" upright="1"/>
                      </wps:wsp>
                    </wpg:wgp>
                  </a:graphicData>
                </a:graphic>
              </wp:inline>
            </w:drawing>
          </mc:Choice>
          <mc:Fallback>
            <w:pict>
              <v:group id="_x0000_s1026" o:spid="_x0000_s1026" o:spt="203" style="height:114.85pt;width:404.45pt;" coordsize="8089,2297" o:gfxdata="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">
                <o:lock v:ext="edit" rotation="t" aspectratio="f"/>
                <v:shape id="_x0000_s1026" o:spid="_x0000_s1026" o:spt="100" style="position:absolute;left:4;top:9;height:20;width:8079;" fillcolor="#FFFFFF [3201]" filled="t" stroked="f" coordsize="8079,20" o:gfxdata="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G/9VFtwAAANsAAAAP&#10;AAAAAAAAAAEAIAAAACIAAABkcnMvZG93bnJldi54bWxQSwECFAAUAAAACACHTuJAMy8FnjsAAAA5&#10;AAAAEAAAAAAAAAABACAAAAAGAQAAZHJzL3NoYXBleG1sLnhtbFBLBQYAAAAABgAGAFsBAACwAwAA&#10;AAA=&#10;" path="m0,0l8078,0e">
                  <v:fill on="t" focussize="0,0"/>
                  <v:stroke on="f" weight="1pt" miterlimit="8" joinstyle="miter"/>
                  <v:imagedata o:title=""/>
                  <o:lock v:ext="edit" aspectratio="f"/>
                </v:shape>
                <v:shape id="_x0000_s1026" o:spid="_x0000_s1026" o:spt="100" style="position:absolute;left:24;top:28;height:20;width:8041;" fillcolor="#FFFFFF [3201]" filled="t" stroked="f" coordsize="8041,20" o:gfxdata="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ZgPPbsAAADb&#10;AAAADwAAAAAAAAABACAAAAAiAAAAZHJzL2Rvd25yZXYueG1sUEsBAhQAFAAAAAgAh07iQDMvBZ47&#10;AAAAOQAAABAAAAAAAAAAAQAgAAAACgEAAGRycy9zaGFwZXhtbC54bWxQSwUGAAAAAAYABgBbAQAA&#10;tAMAAAAA&#10;" path="m0,0l8040,0e">
                  <v:fill on="t" focussize="0,0"/>
                  <v:stroke on="f" weight="1pt" miterlimit="8" joinstyle="miter"/>
                  <v:imagedata o:title=""/>
                  <o:lock v:ext="edit" aspectratio="f"/>
                </v:shape>
                <v:shape id="_x0000_s1026" o:spid="_x0000_s1026" o:spt="100" style="position:absolute;left:24;top:2267;height:20;width:8041;" fillcolor="#FFFFFF [3201]" filled="t" stroked="f" coordsize="8041,20" o:gfxdata="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SpFKugAAANsA&#10;AAAPAAAAAAAAAAEAIAAAACIAAABkcnMvZG93bnJldi54bWxQSwECFAAUAAAACACHTuJAMy8FnjsA&#10;AAA5AAAAEAAAAAAAAAABACAAAAAJAQAAZHJzL3NoYXBleG1sLnhtbFBLBQYAAAAABgAGAFsBAACz&#10;AwAAAAA=&#10;" path="m0,0l8040,0e">
                  <v:fill on="t" focussize="0,0"/>
                  <v:stroke on="f" weight="1pt" miterlimit="8" joinstyle="miter"/>
                  <v:imagedata o:title=""/>
                  <o:lock v:ext="edit" aspectratio="f"/>
                </v:shape>
                <v:shape id="_x0000_s1026" o:spid="_x0000_s1026" o:spt="100" style="position:absolute;left:4;top:2286;height:20;width:8079;" fillcolor="#FFFFFF [3201]" filled="t" stroked="f" coordsize="8079,20" o:gfxdata="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2LUsytwAAANsAAAAP&#10;AAAAAAAAAAEAIAAAACIAAABkcnMvZG93bnJldi54bWxQSwECFAAUAAAACACHTuJAMy8FnjsAAAA5&#10;AAAAEAAAAAAAAAABACAAAAAGAQAAZHJzL3NoYXBleG1sLnhtbFBLBQYAAAAABgAGAFsBAACwAwAA&#10;AAA=&#10;" path="m0,0l8078,0e">
                  <v:fill on="t" focussize="0,0"/>
                  <v:stroke on="f" weight="1pt" miterlimit="8" joinstyle="miter"/>
                  <v:imagedata o:title=""/>
                  <o:lock v:ext="edit" aspectratio="f"/>
                </v:shape>
                <v:shape id="_x0000_s1026" o:spid="_x0000_s1026" o:spt="100" style="position:absolute;left:9;top:4;height:2287;width:20;" fillcolor="#FFFFFF [3201]" filled="t" stroked="f" coordsize="20,2287" o:gfxdata="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K5e25AAAA2wAA&#10;AA8AAAAAAAAAAQAgAAAAIgAAAGRycy9kb3ducmV2LnhtbFBLAQIUABQAAAAIAIdO4kAzLwWeOwAA&#10;ADkAAAAQAAAAAAAAAAEAIAAAAAgBAABkcnMvc2hhcGV4bWwueG1sUEsFBgAAAAAGAAYAWwEAALID&#10;AAAAAA==&#10;" path="m0,0l0,2286e">
                  <v:fill on="t" focussize="0,0"/>
                  <v:stroke on="f" weight="1pt" miterlimit="8" joinstyle="miter"/>
                  <v:imagedata o:title=""/>
                  <o:lock v:ext="edit" aspectratio="f"/>
                </v:shape>
                <v:shape id="_x0000_s1026" o:spid="_x0000_s1026" o:spt="100" style="position:absolute;left:28;top:24;height:2249;width:20;" fillcolor="#FFFFFF [3201]" filled="t" stroked="f" coordsize="20,2249" o:gfxdata="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SfnZC5AAAA2wAA&#10;AA8AAAAAAAAAAQAgAAAAIgAAAGRycy9kb3ducmV2LnhtbFBLAQIUABQAAAAIAIdO4kAzLwWeOwAA&#10;ADkAAAAQAAAAAAAAAAEAIAAAAAgBAABkcnMvc2hhcGV4bWwueG1sUEsFBgAAAAAGAAYAWwEAALID&#10;AAAAAA==&#10;" path="m0,0l0,2248e">
                  <v:fill on="t" focussize="0,0"/>
                  <v:stroke on="f" weight="1pt" miterlimit="8" joinstyle="miter"/>
                  <v:imagedata o:title=""/>
                  <o:lock v:ext="edit" aspectratio="f"/>
                </v:shape>
                <v:shape id="_x0000_s1026" o:spid="_x0000_s1026" o:spt="100" style="position:absolute;left:4034;top:24;height:2239;width:20;" fillcolor="#FFFFFF [3201]" filled="t" stroked="f" coordsize="20,2239" o:gfxdata="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Jcnwu8AAAA&#10;2wAAAA8AAAAAAAAAAQAgAAAAIgAAAGRycy9kb3ducmV2LnhtbFBLAQIUABQAAAAIAIdO4kAzLwWe&#10;OwAAADkAAAAQAAAAAAAAAAEAIAAAAAsBAABkcnMvc2hhcGV4bWwueG1sUEsFBgAAAAAGAAYAWwEA&#10;ALUDAAAAAA==&#10;" path="m0,0l0,2238e">
                  <v:fill on="t" focussize="0,0"/>
                  <v:stroke on="f" weight="1pt" miterlimit="8" joinstyle="miter"/>
                  <v:imagedata o:title=""/>
                  <o:lock v:ext="edit" aspectratio="f"/>
                </v:shape>
                <v:shape id="_x0000_s1026" o:spid="_x0000_s1026" o:spt="100" style="position:absolute;left:4053;top:24;height:2239;width:20;" fillcolor="#FFFFFF [3201]" filled="t" stroked="f" coordsize="20,2239" o:gfxdata="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o4BfLsAAADb&#10;AAAADwAAAAAAAAABACAAAAAiAAAAZHJzL2Rvd25yZXYueG1sUEsBAhQAFAAAAAgAh07iQDMvBZ47&#10;AAAAOQAAABAAAAAAAAAAAQAgAAAACgEAAGRycy9zaGFwZXhtbC54bWxQSwUGAAAAAAYABgBbAQAA&#10;tAMAAAAA&#10;" path="m0,0l0,2238e">
                  <v:fill on="t" focussize="0,0"/>
                  <v:stroke on="f" weight="1pt" miterlimit="8" joinstyle="miter"/>
                  <v:imagedata o:title=""/>
                  <o:lock v:ext="edit" aspectratio="f"/>
                </v:shape>
                <v:shape id="_x0000_s1026" o:spid="_x0000_s1026" o:spt="100" style="position:absolute;left:8059;top:33;height:2239;width:20;" fillcolor="#FFFFFF [3201]" filled="t" stroked="f" coordsize="20,2239" o:gfxdata="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3CpOe8AAAA&#10;2wAAAA8AAAAAAAAAAQAgAAAAIgAAAGRycy9kb3ducmV2LnhtbFBLAQIUABQAAAAIAIdO4kAzLwWe&#10;OwAAADkAAAAQAAAAAAAAAAEAIAAAAAsBAABkcnMvc2hhcGV4bWwueG1sUEsFBgAAAAAGAAYAWwEA&#10;ALUDAAAAAA==&#10;" path="m0,0l0,2238e">
                  <v:fill on="t" focussize="0,0"/>
                  <v:stroke on="f" weight="1pt" miterlimit="8" joinstyle="miter"/>
                  <v:imagedata o:title=""/>
                  <o:lock v:ext="edit" aspectratio="f"/>
                </v:shape>
                <v:shape id="_x0000_s1026" o:spid="_x0000_s1026" o:spt="100" style="position:absolute;left:8078;top:14;height:2278;width:20;" fillcolor="#FFFFFF [3201]" filled="t" stroked="f" coordsize="20,2278" o:gfxdata="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HFRt7sAAADb&#10;AAAADwAAAAAAAAABACAAAAAiAAAAZHJzL2Rvd25yZXYueG1sUEsBAhQAFAAAAAgAh07iQDMvBZ47&#10;AAAAOQAAABAAAAAAAAAAAQAgAAAACgEAAGRycy9zaGFwZXhtbC54bWxQSwUGAAAAAAYABgBbAQAA&#10;tAMAAAAA&#10;" path="m0,0l0,2277e">
                  <v:fill on="t" focussize="0,0"/>
                  <v:stroke on="f" weight="1pt" miterlimit="8" joinstyle="miter"/>
                  <v:imagedata o:title=""/>
                  <o:lock v:ext="edit" aspectratio="f"/>
                </v:shape>
                <v:shape id="_x0000_s1026" o:spid="_x0000_s1026" o:spt="202" type="#_x0000_t202" style="position:absolute;left:19;top:19;height:2258;width:4025;" filled="f" stroked="t" coordsize="21600,21600" o:gfxdata="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cmQwvQAA&#10;ANsAAAAPAAAAAAAAAAEAIAAAACIAAABkcnMvZG93bnJldi54bWxQSwECFAAUAAAACACHTuJAMy8F&#10;njsAAAA5AAAAEAAAAAAAAAABACAAAAAMAQAAZHJzL3NoYXBleG1sLnhtbFBLBQYAAAAABgAGAFsB&#10;AAC2AwAAAAA=&#10;">
                  <v:fill on="f" focussize="0,0"/>
                  <v:stroke weight="1pt" color="#000000 [3200]" miterlimit="8" joinstyle="miter"/>
                  <v:imagedata o:title=""/>
                  <o:lock v:ext="edit" aspectratio="f"/>
                  <v:textbox inset="0mm,0mm,0mm,0mm">
                    <w:txbxContent>
                      <w:p>
                        <w:pPr>
                          <w:pStyle w:val="9"/>
                          <w:numPr>
                            <w:ilvl w:val="0"/>
                            <w:numId w:val="0"/>
                          </w:numPr>
                          <w:kinsoku w:val="0"/>
                          <w:overflowPunct w:val="0"/>
                          <w:spacing w:before="13"/>
                          <w:ind w:leftChars="0" w:right="0" w:rightChars="0"/>
                          <w:rPr>
                            <w:rFonts w:hint="eastAsia"/>
                            <w:sz w:val="28"/>
                            <w:szCs w:val="28"/>
                          </w:rPr>
                        </w:pPr>
                      </w:p>
                      <w:p>
                        <w:pPr>
                          <w:pStyle w:val="9"/>
                          <w:numPr>
                            <w:ilvl w:val="0"/>
                            <w:numId w:val="0"/>
                          </w:numPr>
                          <w:kinsoku w:val="0"/>
                          <w:overflowPunct w:val="0"/>
                          <w:ind w:right="0" w:rightChars="0"/>
                          <w:jc w:val="center"/>
                          <w:rPr>
                            <w:rFonts w:hint="eastAsia" w:ascii="仿宋" w:hAnsi="仿宋" w:eastAsia="仿宋" w:cs="仿宋"/>
                            <w:b/>
                            <w:bCs/>
                            <w:sz w:val="24"/>
                            <w:szCs w:val="24"/>
                          </w:rPr>
                        </w:pPr>
                        <w:r>
                          <w:rPr>
                            <w:rFonts w:hint="eastAsia" w:ascii="仿宋" w:hAnsi="仿宋" w:eastAsia="仿宋" w:cs="仿宋"/>
                            <w:b/>
                            <w:bCs/>
                            <w:sz w:val="24"/>
                            <w:szCs w:val="24"/>
                          </w:rPr>
                          <w:t>法定代表人身份证复印件（正面）</w:t>
                        </w:r>
                      </w:p>
                    </w:txbxContent>
                  </v:textbox>
                </v:shape>
                <v:shape id="_x0000_s1026" o:spid="_x0000_s1026" o:spt="202" type="#_x0000_t202" style="position:absolute;left:4044;top:19;height:2258;width:4025;" filled="f" stroked="t" coordsize="21600,21600" o:gfxdata="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rcUXW8AAAA&#10;2wAAAA8AAAAAAAAAAQAgAAAAIgAAAGRycy9kb3ducmV2LnhtbFBLAQIUABQAAAAIAIdO4kAzLwWe&#10;OwAAADkAAAAQAAAAAAAAAAEAIAAAAAsBAABkcnMvc2hhcGV4bWwueG1sUEsFBgAAAAAGAAYAWwEA&#10;ALUDAAAAAA==&#10;">
                  <v:fill on="f" focussize="0,0"/>
                  <v:stroke weight="1pt" color="#000000 [3200]" miterlimit="8" joinstyle="miter"/>
                  <v:imagedata o:title=""/>
                  <o:lock v:ext="edit" aspectratio="f"/>
                  <v:textbox inset="0mm,0mm,0mm,0mm">
                    <w:txbxContent>
                      <w:p>
                        <w:pPr>
                          <w:pStyle w:val="9"/>
                          <w:numPr>
                            <w:ilvl w:val="0"/>
                            <w:numId w:val="0"/>
                          </w:numPr>
                          <w:kinsoku w:val="0"/>
                          <w:overflowPunct w:val="0"/>
                          <w:spacing w:before="13"/>
                          <w:ind w:leftChars="0" w:right="0" w:rightChars="0"/>
                          <w:rPr>
                            <w:rFonts w:hint="eastAsia"/>
                            <w:sz w:val="28"/>
                            <w:szCs w:val="28"/>
                          </w:rPr>
                        </w:pPr>
                      </w:p>
                      <w:p>
                        <w:pPr>
                          <w:pStyle w:val="9"/>
                          <w:numPr>
                            <w:ilvl w:val="0"/>
                            <w:numId w:val="0"/>
                          </w:numPr>
                          <w:kinsoku w:val="0"/>
                          <w:overflowPunct w:val="0"/>
                          <w:ind w:right="0" w:rightChars="0" w:firstLine="241" w:firstLineChars="100"/>
                          <w:rPr>
                            <w:rFonts w:hint="eastAsia" w:ascii="仿宋" w:hAnsi="仿宋" w:eastAsia="仿宋" w:cs="仿宋"/>
                            <w:sz w:val="24"/>
                            <w:szCs w:val="24"/>
                          </w:rPr>
                        </w:pPr>
                        <w:r>
                          <w:rPr>
                            <w:rFonts w:hint="eastAsia" w:ascii="仿宋" w:hAnsi="仿宋" w:eastAsia="仿宋" w:cs="仿宋"/>
                            <w:b/>
                            <w:bCs/>
                            <w:sz w:val="24"/>
                            <w:szCs w:val="24"/>
                          </w:rPr>
                          <w:t>法定代表人身份证复印件（反面）</w:t>
                        </w:r>
                      </w:p>
                    </w:txbxContent>
                  </v:textbox>
                </v:shape>
                <w10:wrap type="none"/>
                <w10:anchorlock/>
              </v:group>
            </w:pict>
          </mc:Fallback>
        </mc:AlternateContent>
      </w:r>
    </w:p>
    <w:p>
      <w:pPr>
        <w:wordWrap w:val="0"/>
        <w:spacing w:line="420" w:lineRule="exact"/>
        <w:ind w:firstLine="490" w:firstLineChars="200"/>
        <w:jc w:val="right"/>
        <w:outlineLvl w:val="9"/>
        <w:rPr>
          <w:rFonts w:hint="eastAsia" w:ascii="仿宋" w:hAnsi="仿宋" w:eastAsia="仿宋" w:cs="仿宋"/>
          <w:color w:val="auto"/>
          <w:kern w:val="0"/>
          <w:sz w:val="24"/>
          <w:highlight w:val="none"/>
        </w:rPr>
      </w:pPr>
    </w:p>
    <w:p>
      <w:pPr>
        <w:spacing w:line="420" w:lineRule="exact"/>
        <w:ind w:firstLine="490" w:firstLineChars="200"/>
        <w:jc w:val="right"/>
        <w:outlineLvl w:val="9"/>
        <w:rPr>
          <w:rFonts w:hint="eastAsia" w:ascii="仿宋" w:hAnsi="仿宋" w:eastAsia="仿宋" w:cs="仿宋"/>
          <w:color w:val="auto"/>
          <w:kern w:val="0"/>
          <w:sz w:val="24"/>
          <w:highlight w:val="none"/>
        </w:rPr>
      </w:pPr>
    </w:p>
    <w:p>
      <w:pPr>
        <w:pStyle w:val="18"/>
        <w:outlineLvl w:val="9"/>
        <w:rPr>
          <w:rFonts w:hint="eastAsia" w:ascii="仿宋" w:hAnsi="仿宋" w:eastAsia="仿宋" w:cs="仿宋"/>
          <w:color w:val="auto"/>
          <w:kern w:val="0"/>
          <w:sz w:val="24"/>
          <w:highlight w:val="none"/>
        </w:rPr>
      </w:pPr>
    </w:p>
    <w:p>
      <w:pPr>
        <w:pStyle w:val="18"/>
        <w:outlineLvl w:val="9"/>
        <w:rPr>
          <w:rFonts w:hint="eastAsia" w:ascii="仿宋" w:hAnsi="仿宋" w:eastAsia="仿宋" w:cs="仿宋"/>
          <w:color w:val="auto"/>
          <w:kern w:val="0"/>
          <w:sz w:val="24"/>
          <w:highlight w:val="none"/>
        </w:rPr>
      </w:pPr>
    </w:p>
    <w:p>
      <w:pPr>
        <w:spacing w:line="420" w:lineRule="exact"/>
        <w:ind w:firstLine="490" w:firstLineChars="200"/>
        <w:jc w:val="center"/>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投标人：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（公章）</w:t>
      </w:r>
    </w:p>
    <w:p>
      <w:pPr>
        <w:outlineLvl w:val="9"/>
        <w:rPr>
          <w:rFonts w:hint="eastAsia"/>
          <w:highlight w:val="none"/>
        </w:rPr>
      </w:pPr>
    </w:p>
    <w:p>
      <w:pPr>
        <w:wordWrap w:val="0"/>
        <w:spacing w:line="420" w:lineRule="exact"/>
        <w:ind w:right="480" w:firstLine="490" w:firstLineChars="200"/>
        <w:jc w:val="center"/>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日 </w:t>
      </w:r>
    </w:p>
    <w:p>
      <w:pPr>
        <w:pStyle w:val="9"/>
        <w:numPr>
          <w:ilvl w:val="0"/>
          <w:numId w:val="0"/>
        </w:numPr>
        <w:kinsoku w:val="0"/>
        <w:overflowPunct w:val="0"/>
        <w:spacing w:before="34" w:line="357" w:lineRule="auto"/>
        <w:ind w:left="480" w:leftChars="0" w:right="126" w:rightChars="0"/>
        <w:jc w:val="center"/>
        <w:outlineLvl w:val="9"/>
        <w:rPr>
          <w:rFonts w:hint="eastAsia" w:ascii="仿宋" w:hAnsi="仿宋" w:eastAsia="仿宋" w:cs="仿宋"/>
          <w:b/>
          <w:bCs/>
          <w:color w:val="auto"/>
          <w:szCs w:val="21"/>
          <w:highlight w:val="none"/>
        </w:rPr>
      </w:pPr>
      <w:r>
        <w:rPr>
          <w:rFonts w:hint="eastAsia" w:ascii="仿宋" w:hAnsi="仿宋" w:eastAsia="仿宋" w:cs="仿宋"/>
          <w:color w:val="auto"/>
          <w:highlight w:val="none"/>
        </w:rPr>
        <w:br w:type="page"/>
      </w:r>
      <w:r>
        <w:rPr>
          <w:rFonts w:hint="eastAsia" w:ascii="仿宋" w:hAnsi="仿宋" w:eastAsia="仿宋" w:cs="仿宋"/>
          <w:b/>
          <w:bCs/>
          <w:color w:val="auto"/>
          <w:sz w:val="36"/>
          <w:szCs w:val="36"/>
          <w:highlight w:val="none"/>
          <w:lang w:val="en-US" w:eastAsia="zh-CN"/>
        </w:rPr>
        <w:t>3</w:t>
      </w:r>
      <w:r>
        <w:rPr>
          <w:rFonts w:hint="eastAsia" w:ascii="仿宋" w:hAnsi="仿宋" w:eastAsia="仿宋" w:cs="仿宋"/>
          <w:b/>
          <w:bCs/>
          <w:color w:val="auto"/>
          <w:sz w:val="36"/>
          <w:szCs w:val="36"/>
          <w:highlight w:val="none"/>
        </w:rPr>
        <w:t>、授权委托书</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致：采购人名称 </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本授权书声明：注册于（投标人地址）的（投标人名称）法定代表人（负责人）姓名、职务或职称）代表本公司授权（姓名）为本单位的合法代理人，参与贵方组织的（项目名称及项目编号） 的投标、谈判、签约等具体工作，并签署全部有关文件、协议及合同。</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我单位对被授权人的上述经济活动负全部责任。在撤销授权的书面通知前，本授权书一直有效。被授权人在授权书有效期内签署的所有文件不因授权的撤消而失效。</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p>
    <w:p>
      <w:pPr>
        <w:pStyle w:val="9"/>
        <w:tabs>
          <w:tab w:val="left" w:pos="780"/>
        </w:tabs>
        <w:kinsoku w:val="0"/>
        <w:overflowPunct w:val="0"/>
        <w:adjustRightInd w:val="0"/>
        <w:snapToGrid w:val="0"/>
        <w:spacing w:before="12"/>
        <w:outlineLvl w:val="9"/>
        <w:rPr>
          <w:rFonts w:hint="eastAsia" w:ascii="仿宋" w:hAnsi="仿宋" w:eastAsia="仿宋" w:cs="仿宋"/>
          <w:color w:val="auto"/>
          <w:sz w:val="4"/>
          <w:szCs w:val="4"/>
          <w:highlight w:val="none"/>
        </w:rPr>
      </w:pPr>
    </w:p>
    <w:p>
      <w:pPr>
        <w:pStyle w:val="9"/>
        <w:numPr>
          <w:ilvl w:val="0"/>
          <w:numId w:val="0"/>
        </w:numPr>
        <w:kinsoku w:val="0"/>
        <w:overflowPunct w:val="0"/>
        <w:adjustRightInd w:val="0"/>
        <w:snapToGrid w:val="0"/>
        <w:spacing w:line="200" w:lineRule="atLeast"/>
        <w:ind w:right="1947" w:rightChars="795"/>
        <w:jc w:val="center"/>
        <w:outlineLvl w:val="9"/>
        <w:rPr>
          <w:rFonts w:hint="eastAsia" w:ascii="仿宋" w:hAnsi="仿宋" w:eastAsia="仿宋" w:cs="仿宋"/>
          <w:color w:val="auto"/>
          <w:sz w:val="18"/>
          <w:szCs w:val="20"/>
          <w:highlight w:val="none"/>
        </w:rPr>
      </w:pPr>
      <w:r>
        <w:rPr>
          <w:rFonts w:hint="eastAsia" w:ascii="仿宋" w:hAnsi="仿宋" w:eastAsia="仿宋" w:cs="仿宋"/>
          <w:color w:val="auto"/>
          <w:sz w:val="18"/>
          <w:szCs w:val="20"/>
          <w:highlight w:val="none"/>
        </w:rPr>
        <mc:AlternateContent>
          <mc:Choice Requires="wpg">
            <w:drawing>
              <wp:inline distT="0" distB="0" distL="114300" distR="114300">
                <wp:extent cx="5136515" cy="1458595"/>
                <wp:effectExtent l="0" t="0" r="50800" b="33020"/>
                <wp:docPr id="28" name="组合 28"/>
                <wp:cNvGraphicFramePr/>
                <a:graphic xmlns:a="http://schemas.openxmlformats.org/drawingml/2006/main">
                  <a:graphicData uri="http://schemas.microsoft.com/office/word/2010/wordprocessingGroup">
                    <wpg:wgp>
                      <wpg:cNvGrpSpPr>
                        <a:grpSpLocks noRot="1"/>
                      </wpg:cNvGrpSpPr>
                      <wpg:grpSpPr>
                        <a:xfrm>
                          <a:off x="0" y="0"/>
                          <a:ext cx="5136515" cy="1458595"/>
                          <a:chOff x="0" y="0"/>
                          <a:chExt cx="8089" cy="2297"/>
                        </a:xfrm>
                      </wpg:grpSpPr>
                      <wps:wsp>
                        <wps:cNvPr id="33" name="任意多边形 1"/>
                        <wps:cNvSpPr/>
                        <wps:spPr>
                          <a:xfrm>
                            <a:off x="4" y="9"/>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2" name="任意多边形 2"/>
                        <wps:cNvSpPr/>
                        <wps:spPr>
                          <a:xfrm>
                            <a:off x="24" y="28"/>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3" name="任意多边形 3"/>
                        <wps:cNvSpPr/>
                        <wps:spPr>
                          <a:xfrm>
                            <a:off x="24" y="2267"/>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4" name="任意多边形 4"/>
                        <wps:cNvSpPr/>
                        <wps:spPr>
                          <a:xfrm>
                            <a:off x="4" y="2286"/>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5" name="任意多边形 5"/>
                        <wps:cNvSpPr/>
                        <wps:spPr>
                          <a:xfrm>
                            <a:off x="9" y="4"/>
                            <a:ext cx="20" cy="2287"/>
                          </a:xfrm>
                          <a:custGeom>
                            <a:avLst/>
                            <a:gdLst/>
                            <a:ahLst/>
                            <a:cxnLst/>
                            <a:pathLst>
                              <a:path w="20" h="2287">
                                <a:moveTo>
                                  <a:pt x="0" y="0"/>
                                </a:moveTo>
                                <a:lnTo>
                                  <a:pt x="0" y="2286"/>
                                </a:lnTo>
                              </a:path>
                            </a:pathLst>
                          </a:custGeom>
                          <a:noFill/>
                          <a:ln w="6096" cap="flat" cmpd="sng">
                            <a:solidFill>
                              <a:srgbClr val="000000"/>
                            </a:solidFill>
                            <a:prstDash val="solid"/>
                            <a:headEnd type="none" w="med" len="med"/>
                            <a:tailEnd type="none" w="med" len="med"/>
                          </a:ln>
                        </wps:spPr>
                        <wps:bodyPr upright="1"/>
                      </wps:wsp>
                      <wps:wsp>
                        <wps:cNvPr id="6" name="任意多边形 6"/>
                        <wps:cNvSpPr/>
                        <wps:spPr>
                          <a:xfrm>
                            <a:off x="28" y="24"/>
                            <a:ext cx="20" cy="2249"/>
                          </a:xfrm>
                          <a:custGeom>
                            <a:avLst/>
                            <a:gdLst/>
                            <a:ahLst/>
                            <a:cxnLst/>
                            <a:pathLst>
                              <a:path w="20" h="2249">
                                <a:moveTo>
                                  <a:pt x="0" y="0"/>
                                </a:moveTo>
                                <a:lnTo>
                                  <a:pt x="0" y="2248"/>
                                </a:lnTo>
                              </a:path>
                            </a:pathLst>
                          </a:custGeom>
                          <a:noFill/>
                          <a:ln w="6096" cap="flat" cmpd="sng">
                            <a:solidFill>
                              <a:srgbClr val="000000"/>
                            </a:solidFill>
                            <a:prstDash val="solid"/>
                            <a:headEnd type="none" w="med" len="med"/>
                            <a:tailEnd type="none" w="med" len="med"/>
                          </a:ln>
                        </wps:spPr>
                        <wps:bodyPr upright="1"/>
                      </wps:wsp>
                      <wps:wsp>
                        <wps:cNvPr id="7" name="任意多边形 7"/>
                        <wps:cNvSpPr/>
                        <wps:spPr>
                          <a:xfrm>
                            <a:off x="4034" y="24"/>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8" name="任意多边形 8"/>
                        <wps:cNvSpPr/>
                        <wps:spPr>
                          <a:xfrm>
                            <a:off x="4053" y="24"/>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9" name="任意多边形 9"/>
                        <wps:cNvSpPr/>
                        <wps:spPr>
                          <a:xfrm>
                            <a:off x="8059" y="33"/>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10" name="任意多边形 10"/>
                        <wps:cNvSpPr/>
                        <wps:spPr>
                          <a:xfrm>
                            <a:off x="8078" y="14"/>
                            <a:ext cx="20" cy="2278"/>
                          </a:xfrm>
                          <a:custGeom>
                            <a:avLst/>
                            <a:gdLst/>
                            <a:ahLst/>
                            <a:cxnLst/>
                            <a:pathLst>
                              <a:path w="20" h="2278">
                                <a:moveTo>
                                  <a:pt x="0" y="0"/>
                                </a:moveTo>
                                <a:lnTo>
                                  <a:pt x="0" y="2277"/>
                                </a:lnTo>
                              </a:path>
                            </a:pathLst>
                          </a:custGeom>
                          <a:noFill/>
                          <a:ln w="6096" cap="flat" cmpd="sng">
                            <a:solidFill>
                              <a:srgbClr val="000000"/>
                            </a:solidFill>
                            <a:prstDash val="solid"/>
                            <a:headEnd type="none" w="med" len="med"/>
                            <a:tailEnd type="none" w="med" len="med"/>
                          </a:ln>
                        </wps:spPr>
                        <wps:bodyPr upright="1"/>
                      </wps:wsp>
                      <wps:wsp>
                        <wps:cNvPr id="11" name="文本框 11"/>
                        <wps:cNvSpPr txBox="1"/>
                        <wps:spPr>
                          <a:xfrm>
                            <a:off x="19" y="19"/>
                            <a:ext cx="4025" cy="2258"/>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9"/>
                                <w:numPr>
                                  <w:ilvl w:val="0"/>
                                  <w:numId w:val="0"/>
                                </w:numPr>
                                <w:kinsoku w:val="0"/>
                                <w:overflowPunct w:val="0"/>
                                <w:spacing w:before="12"/>
                                <w:ind w:leftChars="0" w:right="0" w:rightChars="0"/>
                                <w:rPr>
                                  <w:rFonts w:hint="eastAsia" w:ascii="仿宋" w:hAnsi="仿宋" w:eastAsia="仿宋" w:cs="仿宋"/>
                                  <w:b w:val="0"/>
                                  <w:bCs w:val="0"/>
                                  <w:sz w:val="28"/>
                                  <w:szCs w:val="28"/>
                                </w:rPr>
                              </w:pPr>
                            </w:p>
                            <w:p>
                              <w:pPr>
                                <w:pStyle w:val="9"/>
                                <w:numPr>
                                  <w:ilvl w:val="0"/>
                                  <w:numId w:val="0"/>
                                </w:numPr>
                                <w:kinsoku w:val="0"/>
                                <w:overflowPunct w:val="0"/>
                                <w:ind w:right="0" w:rightChars="0"/>
                                <w:jc w:val="center"/>
                                <w:rPr>
                                  <w:rFonts w:hint="eastAsia" w:ascii="仿宋" w:hAnsi="仿宋" w:eastAsia="仿宋" w:cs="仿宋"/>
                                </w:rPr>
                              </w:pPr>
                            </w:p>
                            <w:p>
                              <w:pPr>
                                <w:pStyle w:val="9"/>
                                <w:numPr>
                                  <w:ilvl w:val="0"/>
                                  <w:numId w:val="0"/>
                                </w:numPr>
                                <w:kinsoku w:val="0"/>
                                <w:overflowPunct w:val="0"/>
                                <w:ind w:right="0" w:rightChars="0"/>
                                <w:jc w:val="center"/>
                                <w:rPr>
                                  <w:rFonts w:hint="eastAsia" w:ascii="仿宋" w:hAnsi="仿宋" w:eastAsia="仿宋" w:cs="仿宋"/>
                                  <w:b/>
                                  <w:bCs/>
                                  <w:sz w:val="24"/>
                                  <w:szCs w:val="24"/>
                                </w:rPr>
                              </w:pPr>
                              <w:r>
                                <w:rPr>
                                  <w:rFonts w:hint="eastAsia" w:ascii="仿宋" w:hAnsi="仿宋" w:eastAsia="仿宋" w:cs="仿宋"/>
                                  <w:b/>
                                  <w:bCs/>
                                  <w:sz w:val="24"/>
                                  <w:szCs w:val="24"/>
                                </w:rPr>
                                <w:t>授权人身份证复印件（正面）</w:t>
                              </w:r>
                            </w:p>
                          </w:txbxContent>
                        </wps:txbx>
                        <wps:bodyPr lIns="0" tIns="0" rIns="0" bIns="0" upright="1"/>
                      </wps:wsp>
                      <wps:wsp>
                        <wps:cNvPr id="12" name="文本框 12"/>
                        <wps:cNvSpPr txBox="1"/>
                        <wps:spPr>
                          <a:xfrm>
                            <a:off x="4044" y="19"/>
                            <a:ext cx="4025" cy="2258"/>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9"/>
                                <w:numPr>
                                  <w:ilvl w:val="0"/>
                                  <w:numId w:val="0"/>
                                </w:numPr>
                                <w:shd w:val="clear" w:color="auto" w:fill="auto"/>
                                <w:kinsoku w:val="0"/>
                                <w:overflowPunct w:val="0"/>
                                <w:ind w:right="0" w:rightChars="0"/>
                                <w:jc w:val="center"/>
                                <w:rPr>
                                  <w:rFonts w:hint="eastAsia" w:ascii="仿宋" w:hAnsi="仿宋" w:eastAsia="仿宋" w:cs="仿宋"/>
                                </w:rPr>
                              </w:pPr>
                            </w:p>
                            <w:p>
                              <w:pPr>
                                <w:pStyle w:val="9"/>
                                <w:numPr>
                                  <w:ilvl w:val="0"/>
                                  <w:numId w:val="0"/>
                                </w:numPr>
                                <w:shd w:val="clear" w:color="auto" w:fill="auto"/>
                                <w:kinsoku w:val="0"/>
                                <w:overflowPunct w:val="0"/>
                                <w:ind w:right="0" w:rightChars="0"/>
                                <w:jc w:val="center"/>
                                <w:rPr>
                                  <w:rFonts w:hint="eastAsia" w:ascii="仿宋" w:hAnsi="仿宋" w:eastAsia="仿宋" w:cs="仿宋"/>
                                </w:rPr>
                              </w:pPr>
                            </w:p>
                            <w:p>
                              <w:pPr>
                                <w:pStyle w:val="9"/>
                                <w:numPr>
                                  <w:ilvl w:val="0"/>
                                  <w:numId w:val="0"/>
                                </w:numPr>
                                <w:shd w:val="clear" w:color="auto" w:fill="auto"/>
                                <w:kinsoku w:val="0"/>
                                <w:overflowPunct w:val="0"/>
                                <w:ind w:right="0" w:rightChars="0"/>
                                <w:jc w:val="center"/>
                                <w:rPr>
                                  <w:rFonts w:hint="eastAsia" w:ascii="仿宋" w:hAnsi="仿宋" w:eastAsia="仿宋" w:cs="仿宋"/>
                                  <w:sz w:val="24"/>
                                  <w:szCs w:val="24"/>
                                </w:rPr>
                              </w:pPr>
                            </w:p>
                            <w:p>
                              <w:pPr>
                                <w:pStyle w:val="9"/>
                                <w:numPr>
                                  <w:ilvl w:val="0"/>
                                  <w:numId w:val="0"/>
                                </w:numPr>
                                <w:shd w:val="clear" w:color="auto" w:fill="auto"/>
                                <w:kinsoku w:val="0"/>
                                <w:overflowPunct w:val="0"/>
                                <w:ind w:right="0" w:rightChars="0"/>
                                <w:jc w:val="center"/>
                                <w:rPr>
                                  <w:rFonts w:hint="eastAsia" w:ascii="仿宋" w:hAnsi="仿宋" w:eastAsia="仿宋" w:cs="仿宋"/>
                                  <w:sz w:val="24"/>
                                  <w:szCs w:val="24"/>
                                </w:rPr>
                              </w:pPr>
                              <w:r>
                                <w:rPr>
                                  <w:rFonts w:hint="eastAsia" w:ascii="仿宋" w:hAnsi="仿宋" w:eastAsia="仿宋" w:cs="仿宋"/>
                                  <w:b/>
                                  <w:bCs/>
                                  <w:sz w:val="24"/>
                                  <w:szCs w:val="24"/>
                                </w:rPr>
                                <w:t>授权人身份证复印件（反面）</w:t>
                              </w:r>
                            </w:p>
                          </w:txbxContent>
                        </wps:txbx>
                        <wps:bodyPr lIns="0" tIns="0" rIns="0" bIns="0" upright="1"/>
                      </wps:wsp>
                    </wpg:wgp>
                  </a:graphicData>
                </a:graphic>
              </wp:inline>
            </w:drawing>
          </mc:Choice>
          <mc:Fallback>
            <w:pict>
              <v:group id="_x0000_s1026" o:spid="_x0000_s1026" o:spt="203" style="height:114.85pt;width:404.45pt;" coordsize="8089,2297" o:gfxdata="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">
                <o:lock v:ext="edit" rotation="t" aspectratio="f"/>
                <v:shape id="任意多边形 1" o:spid="_x0000_s1026" o:spt="100" style="position:absolute;left:4;top:9;height:20;width:8079;" filled="f" stroked="t" coordsize="8079,20" o:gfxdata="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7C4NG8AAAA&#10;2wAAAA8AAAAAAAAAAQAgAAAAIgAAAGRycy9kb3ducmV2LnhtbFBLAQIUABQAAAAIAIdO4kAzLwWe&#10;OwAAADkAAAAQAAAAAAAAAAEAIAAAAAsBAABkcnMvc2hhcGV4bWwueG1sUEsFBgAAAAAGAAYAWwEA&#10;ALUDAAAAAA==&#10;" path="m0,0l8078,0e">
                  <v:fill on="f" focussize="0,0"/>
                  <v:stroke weight="0.48pt" color="#000000" joinstyle="round"/>
                  <v:imagedata o:title=""/>
                  <o:lock v:ext="edit" aspectratio="f"/>
                </v:shape>
                <v:shape id="_x0000_s1026" o:spid="_x0000_s1026" o:spt="100" style="position:absolute;left:24;top:28;height:20;width:8041;" filled="f" stroked="t" coordsize="8041,20" o:gfxdata="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tvKxbsAAADa&#10;AAAADwAAAAAAAAABACAAAAAiAAAAZHJzL2Rvd25yZXYueG1sUEsBAhQAFAAAAAgAh07iQDMvBZ47&#10;AAAAOQAAABAAAAAAAAAAAQAgAAAACgEAAGRycy9zaGFwZXhtbC54bWxQSwUGAAAAAAYABgBbAQAA&#10;tAMAAAAA&#10;" path="m0,0l8040,0e">
                  <v:fill on="f" focussize="0,0"/>
                  <v:stroke weight="0.48pt" color="#000000" joinstyle="round"/>
                  <v:imagedata o:title=""/>
                  <o:lock v:ext="edit" aspectratio="f"/>
                </v:shape>
                <v:shape id="_x0000_s1026" o:spid="_x0000_s1026" o:spt="100" style="position:absolute;left:24;top:2267;height:20;width:8041;" filled="f" stroked="t" coordsize="8041,20" o:gfxdata="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b168AAAA&#10;2gAAAA8AAAAAAAAAAQAgAAAAIgAAAGRycy9kb3ducmV2LnhtbFBLAQIUABQAAAAIAIdO4kAzLwWe&#10;OwAAADkAAAAQAAAAAAAAAAEAIAAAAAsBAABkcnMvc2hhcGV4bWwueG1sUEsFBgAAAAAGAAYAWwEA&#10;ALUDAAAAAA==&#10;" path="m0,0l8040,0e">
                  <v:fill on="f" focussize="0,0"/>
                  <v:stroke weight="0.48pt" color="#000000" joinstyle="round"/>
                  <v:imagedata o:title=""/>
                  <o:lock v:ext="edit" aspectratio="f"/>
                </v:shape>
                <v:shape id="_x0000_s1026" o:spid="_x0000_s1026" o:spt="100" style="position:absolute;left:4;top:2286;height:20;width:8079;" filled="f" stroked="t" coordsize="8079,20" o:gfxdata="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xCs4W8AAAA&#10;2gAAAA8AAAAAAAAAAQAgAAAAIgAAAGRycy9kb3ducmV2LnhtbFBLAQIUABQAAAAIAIdO4kAzLwWe&#10;OwAAADkAAAAQAAAAAAAAAAEAIAAAAAsBAABkcnMvc2hhcGV4bWwueG1sUEsFBgAAAAAGAAYAWwEA&#10;ALUDAAAAAA==&#10;" path="m0,0l8078,0e">
                  <v:fill on="f" focussize="0,0"/>
                  <v:stroke weight="0.48pt" color="#000000" joinstyle="round"/>
                  <v:imagedata o:title=""/>
                  <o:lock v:ext="edit" aspectratio="f"/>
                </v:shape>
                <v:shape id="_x0000_s1026" o:spid="_x0000_s1026" o:spt="100" style="position:absolute;left:9;top:4;height:2287;width:20;" filled="f" stroked="t" coordsize="20,2287" o:gfxdata="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MWGLsAAADa&#10;AAAADwAAAAAAAAABACAAAAAiAAAAZHJzL2Rvd25yZXYueG1sUEsBAhQAFAAAAAgAh07iQDMvBZ47&#10;AAAAOQAAABAAAAAAAAAAAQAgAAAACgEAAGRycy9zaGFwZXhtbC54bWxQSwUGAAAAAAYABgBbAQAA&#10;tAMAAAAA&#10;" path="m0,0l0,2286e">
                  <v:fill on="f" focussize="0,0"/>
                  <v:stroke weight="0.48pt" color="#000000" joinstyle="round"/>
                  <v:imagedata o:title=""/>
                  <o:lock v:ext="edit" aspectratio="f"/>
                </v:shape>
                <v:shape id="_x0000_s1026" o:spid="_x0000_s1026" o:spt="100" style="position:absolute;left:28;top:24;height:2249;width:20;" filled="f" stroked="t" coordsize="20,2249" o:gfxdata="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HZDJ74A&#10;AADaAAAADwAAAAAAAAABACAAAAAiAAAAZHJzL2Rvd25yZXYueG1sUEsBAhQAFAAAAAgAh07iQDMv&#10;BZ47AAAAOQAAABAAAAAAAAAAAQAgAAAADQEAAGRycy9zaGFwZXhtbC54bWxQSwUGAAAAAAYABgBb&#10;AQAAtwMAAAAA&#10;" path="m0,0l0,2248e">
                  <v:fill on="f" focussize="0,0"/>
                  <v:stroke weight="0.48pt" color="#000000" joinstyle="round"/>
                  <v:imagedata o:title=""/>
                  <o:lock v:ext="edit" aspectratio="f"/>
                </v:shape>
                <v:shape id="_x0000_s1026" o:spid="_x0000_s1026" o:spt="100" style="position:absolute;left:4034;top:24;height:2239;width:20;" filled="f" stroked="t" coordsize="20,2239" o:gfxdata="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sqAfvugAAANoA&#10;AAAPAAAAAAAAAAEAIAAAACIAAABkcnMvZG93bnJldi54bWxQSwECFAAUAAAACACHTuJAMy8FnjsA&#10;AAA5AAAAEAAAAAAAAAABACAAAAAJAQAAZHJzL3NoYXBleG1sLnhtbFBLBQYAAAAABgAGAFsBAACz&#10;AwAAAAA=&#10;" path="m0,0l0,2238e">
                  <v:fill on="f" focussize="0,0"/>
                  <v:stroke weight="0.48pt" color="#000000" joinstyle="round"/>
                  <v:imagedata o:title=""/>
                  <o:lock v:ext="edit" aspectratio="f"/>
                </v:shape>
                <v:shape id="_x0000_s1026" o:spid="_x0000_s1026" o:spt="100" style="position:absolute;left:4053;top:24;height:2239;width:20;" filled="f" stroked="t" coordsize="20,2239" o:gfxdata="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03k522AAAA2gAAAA8A&#10;AAAAAAAAAQAgAAAAIgAAAGRycy9kb3ducmV2LnhtbFBLAQIUABQAAAAIAIdO4kAzLwWeOwAAADkA&#10;AAAQAAAAAAAAAAEAIAAAAAUBAABkcnMvc2hhcGV4bWwueG1sUEsFBgAAAAAGAAYAWwEAAK8DAAAA&#10;AA==&#10;" path="m0,0l0,2238e">
                  <v:fill on="f" focussize="0,0"/>
                  <v:stroke weight="0.48pt" color="#000000" joinstyle="round"/>
                  <v:imagedata o:title=""/>
                  <o:lock v:ext="edit" aspectratio="f"/>
                </v:shape>
                <v:shape id="_x0000_s1026" o:spid="_x0000_s1026" o:spt="100" style="position:absolute;left:8059;top:33;height:2239;width:20;" filled="f" stroked="t" coordsize="20,2239" o:gfxdata="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yezYGugAAANoA&#10;AAAPAAAAAAAAAAEAIAAAACIAAABkcnMvZG93bnJldi54bWxQSwECFAAUAAAACACHTuJAMy8FnjsA&#10;AAA5AAAAEAAAAAAAAAABACAAAAAJAQAAZHJzL3NoYXBleG1sLnhtbFBLBQYAAAAABgAGAFsBAACz&#10;AwAAAAA=&#10;" path="m0,0l0,2238e">
                  <v:fill on="f" focussize="0,0"/>
                  <v:stroke weight="0.48pt" color="#000000" joinstyle="round"/>
                  <v:imagedata o:title=""/>
                  <o:lock v:ext="edit" aspectratio="f"/>
                </v:shape>
                <v:shape id="_x0000_s1026" o:spid="_x0000_s1026" o:spt="100" style="position:absolute;left:8078;top:14;height:2278;width:20;" filled="f" stroked="t" coordsize="20,2278" o:gfxdata="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FAghb4A&#10;AADbAAAADwAAAAAAAAABACAAAAAiAAAAZHJzL2Rvd25yZXYueG1sUEsBAhQAFAAAAAgAh07iQDMv&#10;BZ47AAAAOQAAABAAAAAAAAAAAQAgAAAADQEAAGRycy9zaGFwZXhtbC54bWxQSwUGAAAAAAYABgBb&#10;AQAAtwMAAAAA&#10;" path="m0,0l0,2277e">
                  <v:fill on="f" focussize="0,0"/>
                  <v:stroke weight="0.48pt" color="#000000" joinstyle="round"/>
                  <v:imagedata o:title=""/>
                  <o:lock v:ext="edit" aspectratio="f"/>
                </v:shape>
                <v:shape id="_x0000_s1026" o:spid="_x0000_s1026" o:spt="202" type="#_x0000_t202" style="position:absolute;left:19;top:19;height:2258;width:4025;" filled="f" stroked="t" coordsize="21600,21600" o:gfxdata="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G7k2K5AAAA2wAA&#10;AA8AAAAAAAAAAQAgAAAAIgAAAGRycy9kb3ducmV2LnhtbFBLAQIUABQAAAAIAIdO4kAzLwWeOwAA&#10;ADkAAAAQAAAAAAAAAAEAIAAAAAgBAABkcnMvc2hhcGV4bWwueG1sUEsFBgAAAAAGAAYAWwEAALID&#10;AAAAAA==&#10;">
                  <v:fill on="f" focussize="0,0"/>
                  <v:stroke weight="1pt" color="#000000 [3200]" miterlimit="8" joinstyle="miter"/>
                  <v:imagedata o:title=""/>
                  <o:lock v:ext="edit" aspectratio="f"/>
                  <v:textbox inset="0mm,0mm,0mm,0mm">
                    <w:txbxContent>
                      <w:p>
                        <w:pPr>
                          <w:pStyle w:val="9"/>
                          <w:numPr>
                            <w:ilvl w:val="0"/>
                            <w:numId w:val="0"/>
                          </w:numPr>
                          <w:kinsoku w:val="0"/>
                          <w:overflowPunct w:val="0"/>
                          <w:spacing w:before="12"/>
                          <w:ind w:leftChars="0" w:right="0" w:rightChars="0"/>
                          <w:rPr>
                            <w:rFonts w:hint="eastAsia" w:ascii="仿宋" w:hAnsi="仿宋" w:eastAsia="仿宋" w:cs="仿宋"/>
                            <w:b w:val="0"/>
                            <w:bCs w:val="0"/>
                            <w:sz w:val="28"/>
                            <w:szCs w:val="28"/>
                          </w:rPr>
                        </w:pPr>
                      </w:p>
                      <w:p>
                        <w:pPr>
                          <w:pStyle w:val="9"/>
                          <w:numPr>
                            <w:ilvl w:val="0"/>
                            <w:numId w:val="0"/>
                          </w:numPr>
                          <w:kinsoku w:val="0"/>
                          <w:overflowPunct w:val="0"/>
                          <w:ind w:right="0" w:rightChars="0"/>
                          <w:jc w:val="center"/>
                          <w:rPr>
                            <w:rFonts w:hint="eastAsia" w:ascii="仿宋" w:hAnsi="仿宋" w:eastAsia="仿宋" w:cs="仿宋"/>
                          </w:rPr>
                        </w:pPr>
                      </w:p>
                      <w:p>
                        <w:pPr>
                          <w:pStyle w:val="9"/>
                          <w:numPr>
                            <w:ilvl w:val="0"/>
                            <w:numId w:val="0"/>
                          </w:numPr>
                          <w:kinsoku w:val="0"/>
                          <w:overflowPunct w:val="0"/>
                          <w:ind w:right="0" w:rightChars="0"/>
                          <w:jc w:val="center"/>
                          <w:rPr>
                            <w:rFonts w:hint="eastAsia" w:ascii="仿宋" w:hAnsi="仿宋" w:eastAsia="仿宋" w:cs="仿宋"/>
                            <w:b/>
                            <w:bCs/>
                            <w:sz w:val="24"/>
                            <w:szCs w:val="24"/>
                          </w:rPr>
                        </w:pPr>
                        <w:r>
                          <w:rPr>
                            <w:rFonts w:hint="eastAsia" w:ascii="仿宋" w:hAnsi="仿宋" w:eastAsia="仿宋" w:cs="仿宋"/>
                            <w:b/>
                            <w:bCs/>
                            <w:sz w:val="24"/>
                            <w:szCs w:val="24"/>
                          </w:rPr>
                          <w:t>授权人身份证复印件（正面）</w:t>
                        </w:r>
                      </w:p>
                    </w:txbxContent>
                  </v:textbox>
                </v:shape>
                <v:shape id="_x0000_s1026" o:spid="_x0000_s1026" o:spt="202" type="#_x0000_t202" style="position:absolute;left:4044;top:19;height:2258;width:4025;" filled="f" stroked="t" coordsize="21600,21600" o:gfxdata="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FpDRW5AAAA2wAA&#10;AA8AAAAAAAAAAQAgAAAAIgAAAGRycy9kb3ducmV2LnhtbFBLAQIUABQAAAAIAIdO4kAzLwWeOwAA&#10;ADkAAAAQAAAAAAAAAAEAIAAAAAgBAABkcnMvc2hhcGV4bWwueG1sUEsFBgAAAAAGAAYAWwEAALID&#10;AAAAAA==&#10;">
                  <v:fill on="f" focussize="0,0"/>
                  <v:stroke weight="1pt" color="#000000 [3200]" miterlimit="8" joinstyle="miter"/>
                  <v:imagedata o:title=""/>
                  <o:lock v:ext="edit" aspectratio="f"/>
                  <v:textbox inset="0mm,0mm,0mm,0mm">
                    <w:txbxContent>
                      <w:p>
                        <w:pPr>
                          <w:pStyle w:val="9"/>
                          <w:numPr>
                            <w:ilvl w:val="0"/>
                            <w:numId w:val="0"/>
                          </w:numPr>
                          <w:shd w:val="clear" w:color="auto" w:fill="auto"/>
                          <w:kinsoku w:val="0"/>
                          <w:overflowPunct w:val="0"/>
                          <w:ind w:right="0" w:rightChars="0"/>
                          <w:jc w:val="center"/>
                          <w:rPr>
                            <w:rFonts w:hint="eastAsia" w:ascii="仿宋" w:hAnsi="仿宋" w:eastAsia="仿宋" w:cs="仿宋"/>
                          </w:rPr>
                        </w:pPr>
                      </w:p>
                      <w:p>
                        <w:pPr>
                          <w:pStyle w:val="9"/>
                          <w:numPr>
                            <w:ilvl w:val="0"/>
                            <w:numId w:val="0"/>
                          </w:numPr>
                          <w:shd w:val="clear" w:color="auto" w:fill="auto"/>
                          <w:kinsoku w:val="0"/>
                          <w:overflowPunct w:val="0"/>
                          <w:ind w:right="0" w:rightChars="0"/>
                          <w:jc w:val="center"/>
                          <w:rPr>
                            <w:rFonts w:hint="eastAsia" w:ascii="仿宋" w:hAnsi="仿宋" w:eastAsia="仿宋" w:cs="仿宋"/>
                          </w:rPr>
                        </w:pPr>
                      </w:p>
                      <w:p>
                        <w:pPr>
                          <w:pStyle w:val="9"/>
                          <w:numPr>
                            <w:ilvl w:val="0"/>
                            <w:numId w:val="0"/>
                          </w:numPr>
                          <w:shd w:val="clear" w:color="auto" w:fill="auto"/>
                          <w:kinsoku w:val="0"/>
                          <w:overflowPunct w:val="0"/>
                          <w:ind w:right="0" w:rightChars="0"/>
                          <w:jc w:val="center"/>
                          <w:rPr>
                            <w:rFonts w:hint="eastAsia" w:ascii="仿宋" w:hAnsi="仿宋" w:eastAsia="仿宋" w:cs="仿宋"/>
                            <w:sz w:val="24"/>
                            <w:szCs w:val="24"/>
                          </w:rPr>
                        </w:pPr>
                      </w:p>
                      <w:p>
                        <w:pPr>
                          <w:pStyle w:val="9"/>
                          <w:numPr>
                            <w:ilvl w:val="0"/>
                            <w:numId w:val="0"/>
                          </w:numPr>
                          <w:shd w:val="clear" w:color="auto" w:fill="auto"/>
                          <w:kinsoku w:val="0"/>
                          <w:overflowPunct w:val="0"/>
                          <w:ind w:right="0" w:rightChars="0"/>
                          <w:jc w:val="center"/>
                          <w:rPr>
                            <w:rFonts w:hint="eastAsia" w:ascii="仿宋" w:hAnsi="仿宋" w:eastAsia="仿宋" w:cs="仿宋"/>
                            <w:sz w:val="24"/>
                            <w:szCs w:val="24"/>
                          </w:rPr>
                        </w:pPr>
                        <w:r>
                          <w:rPr>
                            <w:rFonts w:hint="eastAsia" w:ascii="仿宋" w:hAnsi="仿宋" w:eastAsia="仿宋" w:cs="仿宋"/>
                            <w:b/>
                            <w:bCs/>
                            <w:sz w:val="24"/>
                            <w:szCs w:val="24"/>
                          </w:rPr>
                          <w:t>授权人身份证复印件（反面）</w:t>
                        </w:r>
                      </w:p>
                    </w:txbxContent>
                  </v:textbox>
                </v:shape>
                <w10:wrap type="none"/>
                <w10:anchorlock/>
              </v:group>
            </w:pict>
          </mc:Fallback>
        </mc:AlternateContent>
      </w:r>
    </w:p>
    <w:p>
      <w:pPr>
        <w:pStyle w:val="9"/>
        <w:numPr>
          <w:ilvl w:val="0"/>
          <w:numId w:val="0"/>
        </w:numPr>
        <w:kinsoku w:val="0"/>
        <w:overflowPunct w:val="0"/>
        <w:adjustRightInd w:val="0"/>
        <w:snapToGrid w:val="0"/>
        <w:spacing w:line="200" w:lineRule="atLeast"/>
        <w:ind w:right="0" w:rightChars="0"/>
        <w:outlineLvl w:val="9"/>
        <w:rPr>
          <w:rFonts w:hint="eastAsia" w:ascii="仿宋" w:hAnsi="仿宋" w:eastAsia="仿宋" w:cs="仿宋"/>
          <w:color w:val="auto"/>
          <w:sz w:val="18"/>
          <w:szCs w:val="20"/>
          <w:highlight w:val="none"/>
        </w:rPr>
      </w:pPr>
      <w:r>
        <w:rPr>
          <w:rFonts w:hint="eastAsia" w:ascii="仿宋" w:hAnsi="仿宋" w:eastAsia="仿宋" w:cs="仿宋"/>
          <w:color w:val="auto"/>
          <w:sz w:val="18"/>
          <w:szCs w:val="20"/>
          <w:highlight w:val="none"/>
        </w:rPr>
        <mc:AlternateContent>
          <mc:Choice Requires="wpg">
            <w:drawing>
              <wp:inline distT="0" distB="0" distL="114300" distR="114300">
                <wp:extent cx="5137150" cy="1384935"/>
                <wp:effectExtent l="0" t="0" r="53340" b="49530"/>
                <wp:docPr id="36" name="组合 36"/>
                <wp:cNvGraphicFramePr/>
                <a:graphic xmlns:a="http://schemas.openxmlformats.org/drawingml/2006/main">
                  <a:graphicData uri="http://schemas.microsoft.com/office/word/2010/wordprocessingGroup">
                    <wpg:wgp>
                      <wpg:cNvGrpSpPr>
                        <a:grpSpLocks noRot="1"/>
                      </wpg:cNvGrpSpPr>
                      <wpg:grpSpPr>
                        <a:xfrm>
                          <a:off x="0" y="0"/>
                          <a:ext cx="5137150" cy="1384935"/>
                          <a:chOff x="0" y="0"/>
                          <a:chExt cx="8089" cy="2181"/>
                        </a:xfrm>
                      </wpg:grpSpPr>
                      <wps:wsp>
                        <wps:cNvPr id="37" name="任意多边形 34"/>
                        <wps:cNvSpPr/>
                        <wps:spPr>
                          <a:xfrm>
                            <a:off x="4" y="9"/>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38" name="任意多边形 35"/>
                        <wps:cNvSpPr/>
                        <wps:spPr>
                          <a:xfrm>
                            <a:off x="24" y="28"/>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39" name="任意多边形 36"/>
                        <wps:cNvSpPr/>
                        <wps:spPr>
                          <a:xfrm>
                            <a:off x="24" y="2151"/>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40" name="任意多边形 37"/>
                        <wps:cNvSpPr/>
                        <wps:spPr>
                          <a:xfrm>
                            <a:off x="4" y="2170"/>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41" name="任意多边形 38"/>
                        <wps:cNvSpPr/>
                        <wps:spPr>
                          <a:xfrm>
                            <a:off x="9" y="4"/>
                            <a:ext cx="20" cy="2171"/>
                          </a:xfrm>
                          <a:custGeom>
                            <a:avLst/>
                            <a:gdLst/>
                            <a:ahLst/>
                            <a:cxnLst/>
                            <a:pathLst>
                              <a:path w="20" h="2171">
                                <a:moveTo>
                                  <a:pt x="0" y="0"/>
                                </a:moveTo>
                                <a:lnTo>
                                  <a:pt x="0" y="2170"/>
                                </a:lnTo>
                              </a:path>
                            </a:pathLst>
                          </a:custGeom>
                          <a:noFill/>
                          <a:ln w="6096" cap="flat" cmpd="sng">
                            <a:solidFill>
                              <a:srgbClr val="000000"/>
                            </a:solidFill>
                            <a:prstDash val="solid"/>
                            <a:headEnd type="none" w="med" len="med"/>
                            <a:tailEnd type="none" w="med" len="med"/>
                          </a:ln>
                        </wps:spPr>
                        <wps:bodyPr upright="1"/>
                      </wps:wsp>
                      <wps:wsp>
                        <wps:cNvPr id="42" name="任意多边形 39"/>
                        <wps:cNvSpPr/>
                        <wps:spPr>
                          <a:xfrm>
                            <a:off x="28" y="24"/>
                            <a:ext cx="20" cy="2133"/>
                          </a:xfrm>
                          <a:custGeom>
                            <a:avLst/>
                            <a:gdLst/>
                            <a:ahLst/>
                            <a:cxnLst/>
                            <a:pathLst>
                              <a:path w="20" h="2133">
                                <a:moveTo>
                                  <a:pt x="0" y="0"/>
                                </a:moveTo>
                                <a:lnTo>
                                  <a:pt x="0" y="2132"/>
                                </a:lnTo>
                              </a:path>
                            </a:pathLst>
                          </a:custGeom>
                          <a:noFill/>
                          <a:ln w="6096" cap="flat" cmpd="sng">
                            <a:solidFill>
                              <a:srgbClr val="000000"/>
                            </a:solidFill>
                            <a:prstDash val="solid"/>
                            <a:headEnd type="none" w="med" len="med"/>
                            <a:tailEnd type="none" w="med" len="med"/>
                          </a:ln>
                        </wps:spPr>
                        <wps:bodyPr upright="1"/>
                      </wps:wsp>
                      <wps:wsp>
                        <wps:cNvPr id="43" name="任意多边形 40"/>
                        <wps:cNvSpPr/>
                        <wps:spPr>
                          <a:xfrm>
                            <a:off x="4034" y="24"/>
                            <a:ext cx="20" cy="2123"/>
                          </a:xfrm>
                          <a:custGeom>
                            <a:avLst/>
                            <a:gdLst/>
                            <a:ahLst/>
                            <a:cxnLst/>
                            <a:pathLst>
                              <a:path w="20" h="2123">
                                <a:moveTo>
                                  <a:pt x="0" y="0"/>
                                </a:moveTo>
                                <a:lnTo>
                                  <a:pt x="0" y="2122"/>
                                </a:lnTo>
                              </a:path>
                            </a:pathLst>
                          </a:custGeom>
                          <a:noFill/>
                          <a:ln w="6096" cap="flat" cmpd="sng">
                            <a:solidFill>
                              <a:srgbClr val="000000"/>
                            </a:solidFill>
                            <a:prstDash val="solid"/>
                            <a:headEnd type="none" w="med" len="med"/>
                            <a:tailEnd type="none" w="med" len="med"/>
                          </a:ln>
                        </wps:spPr>
                        <wps:bodyPr upright="1"/>
                      </wps:wsp>
                      <wps:wsp>
                        <wps:cNvPr id="44" name="任意多边形 41"/>
                        <wps:cNvSpPr/>
                        <wps:spPr>
                          <a:xfrm>
                            <a:off x="4053" y="24"/>
                            <a:ext cx="20" cy="2123"/>
                          </a:xfrm>
                          <a:custGeom>
                            <a:avLst/>
                            <a:gdLst/>
                            <a:ahLst/>
                            <a:cxnLst/>
                            <a:pathLst>
                              <a:path w="20" h="2123">
                                <a:moveTo>
                                  <a:pt x="0" y="0"/>
                                </a:moveTo>
                                <a:lnTo>
                                  <a:pt x="0" y="2122"/>
                                </a:lnTo>
                              </a:path>
                            </a:pathLst>
                          </a:custGeom>
                          <a:noFill/>
                          <a:ln w="6096" cap="flat" cmpd="sng">
                            <a:solidFill>
                              <a:srgbClr val="000000"/>
                            </a:solidFill>
                            <a:prstDash val="solid"/>
                            <a:headEnd type="none" w="med" len="med"/>
                            <a:tailEnd type="none" w="med" len="med"/>
                          </a:ln>
                        </wps:spPr>
                        <wps:bodyPr upright="1"/>
                      </wps:wsp>
                      <wps:wsp>
                        <wps:cNvPr id="45" name="任意多边形 42"/>
                        <wps:cNvSpPr/>
                        <wps:spPr>
                          <a:xfrm>
                            <a:off x="8059" y="33"/>
                            <a:ext cx="20" cy="2123"/>
                          </a:xfrm>
                          <a:custGeom>
                            <a:avLst/>
                            <a:gdLst/>
                            <a:ahLst/>
                            <a:cxnLst/>
                            <a:pathLst>
                              <a:path w="20" h="2123">
                                <a:moveTo>
                                  <a:pt x="0" y="0"/>
                                </a:moveTo>
                                <a:lnTo>
                                  <a:pt x="0" y="2122"/>
                                </a:lnTo>
                              </a:path>
                            </a:pathLst>
                          </a:custGeom>
                          <a:noFill/>
                          <a:ln w="6096" cap="flat" cmpd="sng">
                            <a:solidFill>
                              <a:srgbClr val="000000"/>
                            </a:solidFill>
                            <a:prstDash val="solid"/>
                            <a:headEnd type="none" w="med" len="med"/>
                            <a:tailEnd type="none" w="med" len="med"/>
                          </a:ln>
                        </wps:spPr>
                        <wps:bodyPr upright="1"/>
                      </wps:wsp>
                      <wps:wsp>
                        <wps:cNvPr id="46" name="任意多边形 43"/>
                        <wps:cNvSpPr/>
                        <wps:spPr>
                          <a:xfrm>
                            <a:off x="8078" y="14"/>
                            <a:ext cx="20" cy="2162"/>
                          </a:xfrm>
                          <a:custGeom>
                            <a:avLst/>
                            <a:gdLst/>
                            <a:ahLst/>
                            <a:cxnLst/>
                            <a:pathLst>
                              <a:path w="20" h="2162">
                                <a:moveTo>
                                  <a:pt x="0" y="0"/>
                                </a:moveTo>
                                <a:lnTo>
                                  <a:pt x="0" y="2161"/>
                                </a:lnTo>
                              </a:path>
                            </a:pathLst>
                          </a:custGeom>
                          <a:noFill/>
                          <a:ln w="6096" cap="flat" cmpd="sng">
                            <a:solidFill>
                              <a:srgbClr val="000000"/>
                            </a:solidFill>
                            <a:prstDash val="solid"/>
                            <a:headEnd type="none" w="med" len="med"/>
                            <a:tailEnd type="none" w="med" len="med"/>
                          </a:ln>
                        </wps:spPr>
                        <wps:bodyPr upright="1"/>
                      </wps:wsp>
                      <wps:wsp>
                        <wps:cNvPr id="47" name="文本框 44"/>
                        <wps:cNvSpPr txBox="1"/>
                        <wps:spPr>
                          <a:xfrm>
                            <a:off x="19" y="19"/>
                            <a:ext cx="4025" cy="2142"/>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9"/>
                                <w:numPr>
                                  <w:ilvl w:val="0"/>
                                  <w:numId w:val="0"/>
                                </w:numPr>
                                <w:kinsoku w:val="0"/>
                                <w:overflowPunct w:val="0"/>
                                <w:ind w:right="0" w:rightChars="0"/>
                                <w:rPr>
                                  <w:rFonts w:hint="eastAsia"/>
                                </w:rPr>
                              </w:pPr>
                            </w:p>
                            <w:p>
                              <w:pPr>
                                <w:pStyle w:val="9"/>
                                <w:numPr>
                                  <w:ilvl w:val="0"/>
                                  <w:numId w:val="0"/>
                                </w:numPr>
                                <w:shd w:val="clear" w:color="auto" w:fill="auto"/>
                                <w:kinsoku w:val="0"/>
                                <w:overflowPunct w:val="0"/>
                                <w:ind w:right="0" w:rightChars="0"/>
                                <w:jc w:val="center"/>
                                <w:rPr>
                                  <w:rFonts w:hint="eastAsia" w:ascii="仿宋" w:hAnsi="仿宋" w:eastAsia="仿宋" w:cs="仿宋"/>
                                  <w:sz w:val="24"/>
                                  <w:szCs w:val="24"/>
                                </w:rPr>
                              </w:pPr>
                            </w:p>
                            <w:p>
                              <w:pPr>
                                <w:pStyle w:val="9"/>
                                <w:numPr>
                                  <w:ilvl w:val="0"/>
                                  <w:numId w:val="0"/>
                                </w:numPr>
                                <w:shd w:val="clear" w:color="auto" w:fill="auto"/>
                                <w:kinsoku w:val="0"/>
                                <w:overflowPunct w:val="0"/>
                                <w:ind w:right="0" w:rightChars="0"/>
                                <w:jc w:val="center"/>
                                <w:rPr>
                                  <w:b/>
                                  <w:bCs/>
                                </w:rPr>
                              </w:pPr>
                              <w:r>
                                <w:rPr>
                                  <w:rFonts w:hint="eastAsia" w:ascii="仿宋" w:hAnsi="仿宋" w:eastAsia="仿宋" w:cs="仿宋"/>
                                  <w:b/>
                                  <w:bCs/>
                                  <w:sz w:val="24"/>
                                  <w:szCs w:val="24"/>
                                </w:rPr>
                                <w:t>被授权代表身份证复印件（正面）</w:t>
                              </w:r>
                            </w:p>
                          </w:txbxContent>
                        </wps:txbx>
                        <wps:bodyPr lIns="0" tIns="0" rIns="0" bIns="0" upright="1"/>
                      </wps:wsp>
                      <wps:wsp>
                        <wps:cNvPr id="48" name="文本框 45"/>
                        <wps:cNvSpPr txBox="1"/>
                        <wps:spPr>
                          <a:xfrm>
                            <a:off x="4044" y="19"/>
                            <a:ext cx="4025" cy="2142"/>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9"/>
                                <w:numPr>
                                  <w:ilvl w:val="0"/>
                                  <w:numId w:val="0"/>
                                </w:numPr>
                                <w:kinsoku w:val="0"/>
                                <w:overflowPunct w:val="0"/>
                                <w:ind w:right="0" w:rightChars="0"/>
                                <w:rPr>
                                  <w:rFonts w:hint="eastAsia"/>
                                </w:rPr>
                              </w:pPr>
                            </w:p>
                            <w:p>
                              <w:pPr>
                                <w:pStyle w:val="9"/>
                                <w:numPr>
                                  <w:ilvl w:val="0"/>
                                  <w:numId w:val="0"/>
                                </w:numPr>
                                <w:shd w:val="clear" w:color="auto" w:fill="auto"/>
                                <w:kinsoku w:val="0"/>
                                <w:overflowPunct w:val="0"/>
                                <w:ind w:right="0" w:rightChars="0"/>
                                <w:rPr>
                                  <w:rFonts w:hint="eastAsia" w:ascii="仿宋" w:hAnsi="仿宋" w:eastAsia="仿宋" w:cs="仿宋"/>
                                  <w:sz w:val="24"/>
                                  <w:szCs w:val="24"/>
                                </w:rPr>
                              </w:pPr>
                            </w:p>
                            <w:p>
                              <w:pPr>
                                <w:pStyle w:val="9"/>
                                <w:numPr>
                                  <w:ilvl w:val="0"/>
                                  <w:numId w:val="0"/>
                                </w:numPr>
                                <w:shd w:val="clear" w:color="auto" w:fill="auto"/>
                                <w:kinsoku w:val="0"/>
                                <w:overflowPunct w:val="0"/>
                                <w:ind w:right="0" w:rightChars="0" w:firstLine="241" w:firstLineChars="100"/>
                                <w:rPr>
                                  <w:b/>
                                  <w:bCs/>
                                </w:rPr>
                              </w:pPr>
                              <w:r>
                                <w:rPr>
                                  <w:rFonts w:hint="eastAsia" w:ascii="仿宋" w:hAnsi="仿宋" w:eastAsia="仿宋" w:cs="仿宋"/>
                                  <w:b/>
                                  <w:bCs/>
                                  <w:sz w:val="24"/>
                                  <w:szCs w:val="24"/>
                                </w:rPr>
                                <w:t>被授权代表身份证复印件（反面）</w:t>
                              </w:r>
                            </w:p>
                          </w:txbxContent>
                        </wps:txbx>
                        <wps:bodyPr lIns="0" tIns="0" rIns="0" bIns="0" upright="1"/>
                      </wps:wsp>
                    </wpg:wgp>
                  </a:graphicData>
                </a:graphic>
              </wp:inline>
            </w:drawing>
          </mc:Choice>
          <mc:Fallback>
            <w:pict>
              <v:group id="_x0000_s1026" o:spid="_x0000_s1026" o:spt="203" style="height:109.05pt;width:404.5pt;" coordsize="8089,2181" o:gfxdata="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">
                <o:lock v:ext="edit" rotation="t" aspectratio="f"/>
                <v:shape id="任意多边形 34" o:spid="_x0000_s1026" o:spt="100" style="position:absolute;left:4;top:9;height:20;width:8079;" filled="f" stroked="t" coordsize="8079,20" o:gfxdata="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ebSvQAA&#10;ANsAAAAPAAAAAAAAAAEAIAAAACIAAABkcnMvZG93bnJldi54bWxQSwECFAAUAAAACACHTuJAMy8F&#10;njsAAAA5AAAAEAAAAAAAAAABACAAAAAMAQAAZHJzL3NoYXBleG1sLnhtbFBLBQYAAAAABgAGAFsB&#10;AAC2AwAAAAA=&#10;" path="m0,0l8078,0e">
                  <v:fill on="f" focussize="0,0"/>
                  <v:stroke weight="0.48pt" color="#000000" joinstyle="round"/>
                  <v:imagedata o:title=""/>
                  <o:lock v:ext="edit" aspectratio="f"/>
                </v:shape>
                <v:shape id="任意多边形 35" o:spid="_x0000_s1026" o:spt="100" style="position:absolute;left:24;top:28;height:20;width:8041;" filled="f" stroked="t" coordsize="8041,20" o:gfxdata="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mWAewugAAANsA&#10;AAAPAAAAAAAAAAEAIAAAACIAAABkcnMvZG93bnJldi54bWxQSwECFAAUAAAACACHTuJAMy8FnjsA&#10;AAA5AAAAEAAAAAAAAAABACAAAAAJAQAAZHJzL3NoYXBleG1sLnhtbFBLBQYAAAAABgAGAFsBAACz&#10;AwAAAAA=&#10;" path="m0,0l8040,0e">
                  <v:fill on="f" focussize="0,0"/>
                  <v:stroke weight="0.48pt" color="#000000" joinstyle="round"/>
                  <v:imagedata o:title=""/>
                  <o:lock v:ext="edit" aspectratio="f"/>
                </v:shape>
                <v:shape id="任意多边形 36" o:spid="_x0000_s1026" o:spt="100" style="position:absolute;left:24;top:2151;height:20;width:8041;" filled="f" stroked="t" coordsize="8041,20" o:gfxdata="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FKIrvQAA&#10;ANsAAAAPAAAAAAAAAAEAIAAAACIAAABkcnMvZG93bnJldi54bWxQSwECFAAUAAAACACHTuJAMy8F&#10;njsAAAA5AAAAEAAAAAAAAAABACAAAAAMAQAAZHJzL3NoYXBleG1sLnhtbFBLBQYAAAAABgAGAFsB&#10;AAC2AwAAAAA=&#10;" path="m0,0l8040,0e">
                  <v:fill on="f" focussize="0,0"/>
                  <v:stroke weight="0.48pt" color="#000000" joinstyle="round"/>
                  <v:imagedata o:title=""/>
                  <o:lock v:ext="edit" aspectratio="f"/>
                </v:shape>
                <v:shape id="任意多边形 37" o:spid="_x0000_s1026" o:spt="100" style="position:absolute;left:4;top:2170;height:20;width:8079;" filled="f" stroked="t" coordsize="8079,20" o:gfxdata="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WDdu5AAAA2wAA&#10;AA8AAAAAAAAAAQAgAAAAIgAAAGRycy9kb3ducmV2LnhtbFBLAQIUABQAAAAIAIdO4kAzLwWeOwAA&#10;ADkAAAAQAAAAAAAAAAEAIAAAAAgBAABkcnMvc2hhcGV4bWwueG1sUEsFBgAAAAAGAAYAWwEAALID&#10;AAAAAA==&#10;" path="m0,0l8078,0e">
                  <v:fill on="f" focussize="0,0"/>
                  <v:stroke weight="0.48pt" color="#000000" joinstyle="round"/>
                  <v:imagedata o:title=""/>
                  <o:lock v:ext="edit" aspectratio="f"/>
                </v:shape>
                <v:shape id="任意多边形 38" o:spid="_x0000_s1026" o:spt="100" style="position:absolute;left:9;top:4;height:2171;width:20;" filled="f" stroked="t" coordsize="20,2171" o:gfxdata="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GrYT7sAAADb&#10;AAAADwAAAAAAAAABACAAAAAiAAAAZHJzL2Rvd25yZXYueG1sUEsBAhQAFAAAAAgAh07iQDMvBZ47&#10;AAAAOQAAABAAAAAAAAAAAQAgAAAACgEAAGRycy9zaGFwZXhtbC54bWxQSwUGAAAAAAYABgBbAQAA&#10;tAMAAAAA&#10;" path="m0,0l0,2170e">
                  <v:fill on="f" focussize="0,0"/>
                  <v:stroke weight="0.48pt" color="#000000" joinstyle="round"/>
                  <v:imagedata o:title=""/>
                  <o:lock v:ext="edit" aspectratio="f"/>
                </v:shape>
                <v:shape id="任意多边形 39" o:spid="_x0000_s1026" o:spt="100" style="position:absolute;left:28;top:24;height:2133;width:20;" filled="f" stroked="t" coordsize="20,2133" o:gfxdata="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3Uk7y/&#10;AAAA2wAAAA8AAAAAAAAAAQAgAAAAIgAAAGRycy9kb3ducmV2LnhtbFBLAQIUABQAAAAIAIdO4kAz&#10;LwWeOwAAADkAAAAQAAAAAAAAAAEAIAAAAA4BAABkcnMvc2hhcGV4bWwueG1sUEsFBgAAAAAGAAYA&#10;WwEAALgDAAAAAA==&#10;" path="m0,0l0,2132e">
                  <v:fill on="f" focussize="0,0"/>
                  <v:stroke weight="0.48pt" color="#000000" joinstyle="round"/>
                  <v:imagedata o:title=""/>
                  <o:lock v:ext="edit" aspectratio="f"/>
                </v:shape>
                <v:shape id="任意多边形 40" o:spid="_x0000_s1026" o:spt="100" style="position:absolute;left:4034;top:24;height:2123;width:20;" filled="f" stroked="t" coordsize="20,2123" o:gfxdata="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Y1HbS8AAAA&#10;2wAAAA8AAAAAAAAAAQAgAAAAIgAAAGRycy9kb3ducmV2LnhtbFBLAQIUABQAAAAIAIdO4kAzLwWe&#10;OwAAADkAAAAQAAAAAAAAAAEAIAAAAAsBAABkcnMvc2hhcGV4bWwueG1sUEsFBgAAAAAGAAYAWwEA&#10;ALUDAAAAAA==&#10;" path="m0,0l0,2122e">
                  <v:fill on="f" focussize="0,0"/>
                  <v:stroke weight="0.48pt" color="#000000" joinstyle="round"/>
                  <v:imagedata o:title=""/>
                  <o:lock v:ext="edit" aspectratio="f"/>
                </v:shape>
                <v:shape id="任意多边形 41" o:spid="_x0000_s1026" o:spt="100" style="position:absolute;left:4053;top:24;height:2123;width:20;" filled="f" stroked="t" coordsize="20,2123" o:gfxdata="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nchcC8AAAA&#10;2wAAAA8AAAAAAAAAAQAgAAAAIgAAAGRycy9kb3ducmV2LnhtbFBLAQIUABQAAAAIAIdO4kAzLwWe&#10;OwAAADkAAAAQAAAAAAAAAAEAIAAAAAsBAABkcnMvc2hhcGV4bWwueG1sUEsFBgAAAAAGAAYAWwEA&#10;ALUDAAAAAA==&#10;" path="m0,0l0,2122e">
                  <v:fill on="f" focussize="0,0"/>
                  <v:stroke weight="0.48pt" color="#000000" joinstyle="round"/>
                  <v:imagedata o:title=""/>
                  <o:lock v:ext="edit" aspectratio="f"/>
                </v:shape>
                <v:shape id="任意多边形 42" o:spid="_x0000_s1026" o:spt="100" style="position:absolute;left:8059;top:33;height:2123;width:20;" filled="f" stroked="t" coordsize="20,2123" o:gfxdata="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aQIFu8AAAA&#10;2wAAAA8AAAAAAAAAAQAgAAAAIgAAAGRycy9kb3ducmV2LnhtbFBLAQIUABQAAAAIAIdO4kAzLwWe&#10;OwAAADkAAAAQAAAAAAAAAAEAIAAAAAsBAABkcnMvc2hhcGV4bWwueG1sUEsFBgAAAAAGAAYAWwEA&#10;ALUDAAAAAA==&#10;" path="m0,0l0,2122e">
                  <v:fill on="f" focussize="0,0"/>
                  <v:stroke weight="0.48pt" color="#000000" joinstyle="round"/>
                  <v:imagedata o:title=""/>
                  <o:lock v:ext="edit" aspectratio="f"/>
                </v:shape>
                <v:shape id="任意多边形 43" o:spid="_x0000_s1026" o:spt="100" style="position:absolute;left:8078;top:14;height:2162;width:20;" filled="f" stroked="t" coordsize="20,2162" o:gfxdata="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2cm0ztwAAANsAAAAP&#10;AAAAAAAAAAEAIAAAACIAAABkcnMvZG93bnJldi54bWxQSwECFAAUAAAACACHTuJAMy8FnjsAAAA5&#10;AAAAEAAAAAAAAAABACAAAAAGAQAAZHJzL3NoYXBleG1sLnhtbFBLBQYAAAAABgAGAFsBAACwAwAA&#10;AAA=&#10;" path="m0,0l0,2161e">
                  <v:fill on="f" focussize="0,0"/>
                  <v:stroke weight="0.48pt" color="#000000" joinstyle="round"/>
                  <v:imagedata o:title=""/>
                  <o:lock v:ext="edit" aspectratio="f"/>
                </v:shape>
                <v:shape id="文本框 44" o:spid="_x0000_s1026" o:spt="202" type="#_x0000_t202" style="position:absolute;left:19;top:19;height:2142;width:4025;" filled="f" stroked="t" coordsize="21600,21600" o:gfxdata="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rYGQvQAA&#10;ANsAAAAPAAAAAAAAAAEAIAAAACIAAABkcnMvZG93bnJldi54bWxQSwECFAAUAAAACACHTuJAMy8F&#10;njsAAAA5AAAAEAAAAAAAAAABACAAAAAMAQAAZHJzL3NoYXBleG1sLnhtbFBLBQYAAAAABgAGAFsB&#10;AAC2AwAAAAA=&#10;">
                  <v:fill on="f" focussize="0,0"/>
                  <v:stroke weight="1pt" color="#000000 [3200]" miterlimit="8" joinstyle="miter"/>
                  <v:imagedata o:title=""/>
                  <o:lock v:ext="edit" aspectratio="f"/>
                  <v:textbox inset="0mm,0mm,0mm,0mm">
                    <w:txbxContent>
                      <w:p>
                        <w:pPr>
                          <w:pStyle w:val="9"/>
                          <w:numPr>
                            <w:ilvl w:val="0"/>
                            <w:numId w:val="0"/>
                          </w:numPr>
                          <w:kinsoku w:val="0"/>
                          <w:overflowPunct w:val="0"/>
                          <w:ind w:right="0" w:rightChars="0"/>
                          <w:rPr>
                            <w:rFonts w:hint="eastAsia"/>
                          </w:rPr>
                        </w:pPr>
                      </w:p>
                      <w:p>
                        <w:pPr>
                          <w:pStyle w:val="9"/>
                          <w:numPr>
                            <w:ilvl w:val="0"/>
                            <w:numId w:val="0"/>
                          </w:numPr>
                          <w:shd w:val="clear" w:color="auto" w:fill="auto"/>
                          <w:kinsoku w:val="0"/>
                          <w:overflowPunct w:val="0"/>
                          <w:ind w:right="0" w:rightChars="0"/>
                          <w:jc w:val="center"/>
                          <w:rPr>
                            <w:rFonts w:hint="eastAsia" w:ascii="仿宋" w:hAnsi="仿宋" w:eastAsia="仿宋" w:cs="仿宋"/>
                            <w:sz w:val="24"/>
                            <w:szCs w:val="24"/>
                          </w:rPr>
                        </w:pPr>
                      </w:p>
                      <w:p>
                        <w:pPr>
                          <w:pStyle w:val="9"/>
                          <w:numPr>
                            <w:ilvl w:val="0"/>
                            <w:numId w:val="0"/>
                          </w:numPr>
                          <w:shd w:val="clear" w:color="auto" w:fill="auto"/>
                          <w:kinsoku w:val="0"/>
                          <w:overflowPunct w:val="0"/>
                          <w:ind w:right="0" w:rightChars="0"/>
                          <w:jc w:val="center"/>
                          <w:rPr>
                            <w:b/>
                            <w:bCs/>
                          </w:rPr>
                        </w:pPr>
                        <w:r>
                          <w:rPr>
                            <w:rFonts w:hint="eastAsia" w:ascii="仿宋" w:hAnsi="仿宋" w:eastAsia="仿宋" w:cs="仿宋"/>
                            <w:b/>
                            <w:bCs/>
                            <w:sz w:val="24"/>
                            <w:szCs w:val="24"/>
                          </w:rPr>
                          <w:t>被授权代表身份证复印件（正面）</w:t>
                        </w:r>
                      </w:p>
                    </w:txbxContent>
                  </v:textbox>
                </v:shape>
                <v:shape id="文本框 45" o:spid="_x0000_s1026" o:spt="202" type="#_x0000_t202" style="position:absolute;left:4044;top:19;height:2142;width:4025;" filled="f" stroked="t" coordsize="21600,21600" o:gfxdata="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MyFeK5AAAA2wAA&#10;AA8AAAAAAAAAAQAgAAAAIgAAAGRycy9kb3ducmV2LnhtbFBLAQIUABQAAAAIAIdO4kAzLwWeOwAA&#10;ADkAAAAQAAAAAAAAAAEAIAAAAAgBAABkcnMvc2hhcGV4bWwueG1sUEsFBgAAAAAGAAYAWwEAALID&#10;AAAAAA==&#10;">
                  <v:fill on="f" focussize="0,0"/>
                  <v:stroke weight="1pt" color="#000000 [3200]" miterlimit="8" joinstyle="miter"/>
                  <v:imagedata o:title=""/>
                  <o:lock v:ext="edit" aspectratio="f"/>
                  <v:textbox inset="0mm,0mm,0mm,0mm">
                    <w:txbxContent>
                      <w:p>
                        <w:pPr>
                          <w:pStyle w:val="9"/>
                          <w:numPr>
                            <w:ilvl w:val="0"/>
                            <w:numId w:val="0"/>
                          </w:numPr>
                          <w:kinsoku w:val="0"/>
                          <w:overflowPunct w:val="0"/>
                          <w:ind w:right="0" w:rightChars="0"/>
                          <w:rPr>
                            <w:rFonts w:hint="eastAsia"/>
                          </w:rPr>
                        </w:pPr>
                      </w:p>
                      <w:p>
                        <w:pPr>
                          <w:pStyle w:val="9"/>
                          <w:numPr>
                            <w:ilvl w:val="0"/>
                            <w:numId w:val="0"/>
                          </w:numPr>
                          <w:shd w:val="clear" w:color="auto" w:fill="auto"/>
                          <w:kinsoku w:val="0"/>
                          <w:overflowPunct w:val="0"/>
                          <w:ind w:right="0" w:rightChars="0"/>
                          <w:rPr>
                            <w:rFonts w:hint="eastAsia" w:ascii="仿宋" w:hAnsi="仿宋" w:eastAsia="仿宋" w:cs="仿宋"/>
                            <w:sz w:val="24"/>
                            <w:szCs w:val="24"/>
                          </w:rPr>
                        </w:pPr>
                      </w:p>
                      <w:p>
                        <w:pPr>
                          <w:pStyle w:val="9"/>
                          <w:numPr>
                            <w:ilvl w:val="0"/>
                            <w:numId w:val="0"/>
                          </w:numPr>
                          <w:shd w:val="clear" w:color="auto" w:fill="auto"/>
                          <w:kinsoku w:val="0"/>
                          <w:overflowPunct w:val="0"/>
                          <w:ind w:right="0" w:rightChars="0" w:firstLine="241" w:firstLineChars="100"/>
                          <w:rPr>
                            <w:b/>
                            <w:bCs/>
                          </w:rPr>
                        </w:pPr>
                        <w:r>
                          <w:rPr>
                            <w:rFonts w:hint="eastAsia" w:ascii="仿宋" w:hAnsi="仿宋" w:eastAsia="仿宋" w:cs="仿宋"/>
                            <w:b/>
                            <w:bCs/>
                            <w:sz w:val="24"/>
                            <w:szCs w:val="24"/>
                          </w:rPr>
                          <w:t>被授权代表身份证复印件（反面）</w:t>
                        </w:r>
                      </w:p>
                    </w:txbxContent>
                  </v:textbox>
                </v:shape>
                <w10:wrap type="none"/>
                <w10:anchorlock/>
              </v:group>
            </w:pict>
          </mc:Fallback>
        </mc:AlternateContent>
      </w:r>
    </w:p>
    <w:p>
      <w:pPr>
        <w:pStyle w:val="9"/>
        <w:numPr>
          <w:ilvl w:val="0"/>
          <w:numId w:val="0"/>
        </w:numPr>
        <w:tabs>
          <w:tab w:val="left" w:pos="5295"/>
        </w:tabs>
        <w:kinsoku w:val="0"/>
        <w:overflowPunct w:val="0"/>
        <w:adjustRightInd w:val="0"/>
        <w:snapToGrid w:val="0"/>
        <w:spacing w:line="360" w:lineRule="auto"/>
        <w:ind w:left="709" w:leftChars="0" w:right="0" w:rightChars="0"/>
        <w:outlineLvl w:val="9"/>
        <w:rPr>
          <w:rFonts w:hint="eastAsia" w:ascii="仿宋" w:hAnsi="仿宋" w:eastAsia="仿宋" w:cs="仿宋"/>
          <w:color w:val="auto"/>
          <w:sz w:val="24"/>
          <w:highlight w:val="none"/>
        </w:rPr>
      </w:pPr>
    </w:p>
    <w:p>
      <w:pPr>
        <w:pStyle w:val="9"/>
        <w:numPr>
          <w:ilvl w:val="0"/>
          <w:numId w:val="0"/>
        </w:numPr>
        <w:tabs>
          <w:tab w:val="left" w:pos="5295"/>
        </w:tabs>
        <w:kinsoku w:val="0"/>
        <w:overflowPunct w:val="0"/>
        <w:adjustRightInd w:val="0"/>
        <w:snapToGrid w:val="0"/>
        <w:spacing w:line="360" w:lineRule="auto"/>
        <w:ind w:left="709" w:leftChars="0" w:right="0" w:rightChars="0"/>
        <w:outlineLvl w:val="9"/>
        <w:rPr>
          <w:rFonts w:hint="eastAsia" w:ascii="仿宋" w:hAnsi="仿宋" w:eastAsia="仿宋" w:cs="仿宋"/>
          <w:color w:val="auto"/>
          <w:sz w:val="24"/>
          <w:highlight w:val="none"/>
        </w:rPr>
      </w:pPr>
    </w:p>
    <w:p>
      <w:pPr>
        <w:pStyle w:val="9"/>
        <w:numPr>
          <w:ilvl w:val="0"/>
          <w:numId w:val="0"/>
        </w:numPr>
        <w:tabs>
          <w:tab w:val="left" w:pos="5295"/>
        </w:tabs>
        <w:kinsoku w:val="0"/>
        <w:overflowPunct w:val="0"/>
        <w:adjustRightInd w:val="0"/>
        <w:snapToGrid w:val="0"/>
        <w:spacing w:line="360" w:lineRule="auto"/>
        <w:ind w:left="709" w:leftChars="0" w:right="0" w:rightChars="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被授权代表（</w:t>
      </w:r>
      <w:r>
        <w:rPr>
          <w:rFonts w:hint="eastAsia" w:ascii="仿宋" w:hAnsi="仿宋" w:eastAsia="仿宋" w:cs="仿宋"/>
          <w:color w:val="auto"/>
          <w:sz w:val="24"/>
          <w:highlight w:val="none"/>
          <w:lang w:eastAsia="zh-CN"/>
        </w:rPr>
        <w:t>签字或盖章</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投标人法定代表人（</w:t>
      </w:r>
      <w:r>
        <w:rPr>
          <w:rFonts w:hint="eastAsia" w:ascii="仿宋" w:hAnsi="仿宋" w:eastAsia="仿宋" w:cs="仿宋"/>
          <w:color w:val="auto"/>
          <w:sz w:val="24"/>
          <w:highlight w:val="none"/>
          <w:lang w:eastAsia="zh-CN"/>
        </w:rPr>
        <w:t>签字或盖章</w:t>
      </w:r>
      <w:r>
        <w:rPr>
          <w:rFonts w:hint="eastAsia" w:ascii="仿宋" w:hAnsi="仿宋" w:eastAsia="仿宋" w:cs="仿宋"/>
          <w:color w:val="auto"/>
          <w:sz w:val="24"/>
          <w:highlight w:val="none"/>
        </w:rPr>
        <w:t>）：</w:t>
      </w:r>
    </w:p>
    <w:p>
      <w:pPr>
        <w:pStyle w:val="9"/>
        <w:numPr>
          <w:ilvl w:val="0"/>
          <w:numId w:val="0"/>
        </w:numPr>
        <w:tabs>
          <w:tab w:val="left" w:pos="1098"/>
          <w:tab w:val="left" w:pos="5298"/>
          <w:tab w:val="left" w:pos="5778"/>
        </w:tabs>
        <w:kinsoku w:val="0"/>
        <w:overflowPunct w:val="0"/>
        <w:adjustRightInd w:val="0"/>
        <w:snapToGrid w:val="0"/>
        <w:spacing w:line="360" w:lineRule="auto"/>
        <w:ind w:left="709" w:leftChars="0" w:right="0" w:rightChars="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职</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务：</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职</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务：</w:t>
      </w:r>
    </w:p>
    <w:p>
      <w:pPr>
        <w:pStyle w:val="9"/>
        <w:numPr>
          <w:ilvl w:val="0"/>
          <w:numId w:val="0"/>
        </w:numPr>
        <w:tabs>
          <w:tab w:val="left" w:pos="1098"/>
          <w:tab w:val="left" w:pos="5298"/>
          <w:tab w:val="left" w:pos="5778"/>
        </w:tabs>
        <w:kinsoku w:val="0"/>
        <w:overflowPunct w:val="0"/>
        <w:adjustRightInd w:val="0"/>
        <w:snapToGrid w:val="0"/>
        <w:spacing w:line="360" w:lineRule="auto"/>
        <w:ind w:left="709" w:leftChars="0" w:right="0" w:rightChars="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电</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话：</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电</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话：</w:t>
      </w:r>
    </w:p>
    <w:p>
      <w:pPr>
        <w:pStyle w:val="9"/>
        <w:numPr>
          <w:ilvl w:val="0"/>
          <w:numId w:val="0"/>
        </w:numPr>
        <w:tabs>
          <w:tab w:val="left" w:pos="5631"/>
          <w:tab w:val="left" w:pos="6591"/>
          <w:tab w:val="left" w:pos="7191"/>
          <w:tab w:val="left" w:pos="7791"/>
          <w:tab w:val="left" w:pos="8247"/>
        </w:tabs>
        <w:kinsoku w:val="0"/>
        <w:overflowPunct w:val="0"/>
        <w:adjustRightInd w:val="0"/>
        <w:snapToGrid w:val="0"/>
        <w:spacing w:line="360" w:lineRule="auto"/>
        <w:ind w:left="709" w:leftChars="0" w:right="238" w:rightChars="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rPr>
        <w:t>（盖章）</w:t>
      </w:r>
    </w:p>
    <w:p>
      <w:pPr>
        <w:pStyle w:val="9"/>
        <w:numPr>
          <w:ilvl w:val="0"/>
          <w:numId w:val="0"/>
        </w:numPr>
        <w:tabs>
          <w:tab w:val="left" w:pos="5145"/>
          <w:tab w:val="left" w:pos="6591"/>
          <w:tab w:val="left" w:pos="7191"/>
          <w:tab w:val="left" w:pos="7791"/>
          <w:tab w:val="left" w:pos="8247"/>
        </w:tabs>
        <w:kinsoku w:val="0"/>
        <w:overflowPunct w:val="0"/>
        <w:adjustRightInd w:val="0"/>
        <w:snapToGrid w:val="0"/>
        <w:spacing w:line="360" w:lineRule="auto"/>
        <w:ind w:leftChars="50" w:right="238" w:rightChars="0" w:firstLine="2940" w:firstLineChars="1200"/>
        <w:jc w:val="both"/>
        <w:outlineLvl w:val="9"/>
        <w:rPr>
          <w:rFonts w:hint="eastAsia" w:ascii="仿宋" w:hAnsi="仿宋" w:eastAsia="仿宋" w:cs="仿宋"/>
          <w:color w:val="auto"/>
          <w:sz w:val="24"/>
          <w:highlight w:val="none"/>
        </w:rPr>
      </w:pPr>
    </w:p>
    <w:p>
      <w:pPr>
        <w:pStyle w:val="9"/>
        <w:numPr>
          <w:ilvl w:val="0"/>
          <w:numId w:val="0"/>
        </w:numPr>
        <w:tabs>
          <w:tab w:val="left" w:pos="5145"/>
          <w:tab w:val="left" w:pos="6591"/>
          <w:tab w:val="left" w:pos="7191"/>
          <w:tab w:val="left" w:pos="7791"/>
          <w:tab w:val="left" w:pos="8247"/>
        </w:tabs>
        <w:kinsoku w:val="0"/>
        <w:overflowPunct w:val="0"/>
        <w:adjustRightInd w:val="0"/>
        <w:snapToGrid w:val="0"/>
        <w:spacing w:line="360" w:lineRule="auto"/>
        <w:ind w:leftChars="50" w:right="238" w:rightChars="0" w:firstLine="2940" w:firstLineChars="1200"/>
        <w:jc w:val="both"/>
        <w:outlineLvl w:val="9"/>
        <w:rPr>
          <w:rFonts w:hint="eastAsia" w:ascii="仿宋" w:hAnsi="仿宋" w:eastAsia="仿宋" w:cs="仿宋"/>
          <w:color w:val="auto"/>
          <w:sz w:val="20"/>
          <w:highlight w:val="none"/>
        </w:rPr>
      </w:pPr>
      <w:r>
        <w:rPr>
          <w:rFonts w:hint="eastAsia" w:ascii="仿宋" w:hAnsi="仿宋" w:eastAsia="仿宋" w:cs="仿宋"/>
          <w:color w:val="auto"/>
          <w:sz w:val="24"/>
          <w:highlight w:val="none"/>
        </w:rPr>
        <w:t xml:space="preserve"> 日期：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日 </w:t>
      </w:r>
      <w:r>
        <w:rPr>
          <w:rFonts w:hint="eastAsia" w:ascii="仿宋" w:hAnsi="仿宋" w:eastAsia="仿宋" w:cs="仿宋"/>
          <w:color w:val="auto"/>
          <w:sz w:val="20"/>
          <w:highlight w:val="none"/>
        </w:rPr>
        <w:t xml:space="preserve">               </w:t>
      </w:r>
    </w:p>
    <w:p>
      <w:pPr>
        <w:pStyle w:val="31"/>
        <w:outlineLvl w:val="9"/>
        <w:rPr>
          <w:rFonts w:hint="eastAsia" w:ascii="仿宋" w:hAnsi="仿宋" w:eastAsia="仿宋" w:cs="仿宋"/>
          <w:b/>
          <w:bCs/>
          <w:color w:val="auto"/>
          <w:sz w:val="36"/>
          <w:szCs w:val="36"/>
          <w:highlight w:val="none"/>
        </w:rPr>
      </w:pPr>
      <w:r>
        <w:rPr>
          <w:rFonts w:hint="eastAsia" w:ascii="仿宋" w:hAnsi="仿宋" w:eastAsia="仿宋" w:cs="仿宋"/>
          <w:color w:val="auto"/>
          <w:highlight w:val="none"/>
        </w:rPr>
        <w:br w:type="page"/>
      </w:r>
    </w:p>
    <w:p>
      <w:pPr>
        <w:pStyle w:val="9"/>
        <w:numPr>
          <w:ilvl w:val="0"/>
          <w:numId w:val="0"/>
        </w:numPr>
        <w:shd w:val="clear" w:color="auto" w:fill="auto"/>
        <w:kinsoku w:val="0"/>
        <w:overflowPunct w:val="0"/>
        <w:spacing w:before="34" w:line="357" w:lineRule="auto"/>
        <w:ind w:left="480" w:leftChars="0" w:right="126" w:rightChars="0"/>
        <w:jc w:val="center"/>
        <w:outlineLvl w:val="9"/>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lang w:val="en-US" w:eastAsia="zh-CN"/>
        </w:rPr>
        <w:t>4、</w:t>
      </w:r>
      <w:r>
        <w:rPr>
          <w:rFonts w:hint="eastAsia" w:ascii="仿宋" w:hAnsi="仿宋" w:eastAsia="仿宋" w:cs="仿宋"/>
          <w:b/>
          <w:bCs/>
          <w:color w:val="auto"/>
          <w:sz w:val="36"/>
          <w:szCs w:val="36"/>
          <w:highlight w:val="none"/>
        </w:rPr>
        <w:t>参加政府采购活动前3年内</w:t>
      </w:r>
      <w:bookmarkStart w:id="94" w:name="_Toc6008"/>
      <w:bookmarkStart w:id="95" w:name="_Toc1137"/>
      <w:bookmarkStart w:id="96" w:name="_Toc515647812"/>
      <w:r>
        <w:rPr>
          <w:rFonts w:hint="eastAsia" w:ascii="仿宋" w:hAnsi="仿宋" w:eastAsia="仿宋" w:cs="仿宋"/>
          <w:b/>
          <w:bCs/>
          <w:color w:val="auto"/>
          <w:sz w:val="36"/>
          <w:szCs w:val="36"/>
          <w:highlight w:val="none"/>
        </w:rPr>
        <w:t>在经营活动中没有重大违法记录的书面声明</w:t>
      </w:r>
      <w:bookmarkEnd w:id="94"/>
      <w:bookmarkEnd w:id="95"/>
      <w:bookmarkEnd w:id="96"/>
    </w:p>
    <w:p>
      <w:pPr>
        <w:pStyle w:val="13"/>
        <w:shd w:val="clear" w:color="auto" w:fill="auto"/>
        <w:tabs>
          <w:tab w:val="left" w:pos="5580"/>
        </w:tabs>
        <w:spacing w:line="240" w:lineRule="atLeast"/>
        <w:ind w:left="1169" w:leftChars="257" w:hanging="540"/>
        <w:jc w:val="center"/>
        <w:outlineLvl w:val="9"/>
        <w:rPr>
          <w:rFonts w:hint="eastAsia" w:ascii="仿宋" w:hAnsi="仿宋" w:eastAsia="仿宋" w:cs="仿宋"/>
          <w:b/>
          <w:color w:val="auto"/>
          <w:sz w:val="24"/>
          <w:highlight w:val="none"/>
        </w:rPr>
      </w:pPr>
    </w:p>
    <w:p>
      <w:pPr>
        <w:pStyle w:val="13"/>
        <w:shd w:val="clear" w:color="auto" w:fill="auto"/>
        <w:tabs>
          <w:tab w:val="left" w:pos="5580"/>
        </w:tabs>
        <w:spacing w:line="240" w:lineRule="atLeast"/>
        <w:ind w:left="1169" w:leftChars="257" w:hanging="540"/>
        <w:outlineLvl w:val="9"/>
        <w:rPr>
          <w:rFonts w:hint="eastAsia" w:ascii="仿宋" w:hAnsi="仿宋" w:eastAsia="仿宋" w:cs="仿宋"/>
          <w:color w:val="auto"/>
          <w:sz w:val="24"/>
          <w:highlight w:val="none"/>
        </w:rPr>
      </w:pP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说明：1.投标人应按照相关法规规定如实作出说明。</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1307" w:firstLineChars="534"/>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2．按照招标文件的规定加盖单位章（自然人投标的无需盖章，需要签字）。</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      </w:t>
      </w:r>
    </w:p>
    <w:p>
      <w:pPr>
        <w:outlineLvl w:val="9"/>
        <w:rPr>
          <w:rFonts w:hint="eastAsia" w:ascii="仿宋" w:hAnsi="仿宋" w:eastAsia="仿宋" w:cs="仿宋"/>
          <w:color w:val="auto"/>
          <w:spacing w:val="0"/>
          <w:w w:val="100"/>
          <w:kern w:val="0"/>
          <w:position w:val="0"/>
          <w:sz w:val="24"/>
          <w:szCs w:val="24"/>
          <w:highlight w:val="none"/>
          <w:u w:val="none"/>
          <w:shd w:val="clear" w:color="auto" w:fill="auto"/>
          <w:lang w:val="en-US" w:eastAsia="zh-CN" w:bidi="en-US"/>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numPr>
          <w:ilvl w:val="0"/>
          <w:numId w:val="0"/>
        </w:numPr>
        <w:shd w:val="clear" w:color="auto" w:fill="auto"/>
        <w:tabs>
          <w:tab w:val="left" w:pos="540"/>
        </w:tabs>
        <w:spacing w:before="0" w:line="240" w:lineRule="atLeast"/>
        <w:outlineLvl w:val="9"/>
        <w:rPr>
          <w:rFonts w:hint="eastAsia" w:ascii="仿宋" w:hAnsi="仿宋" w:eastAsia="仿宋" w:cs="仿宋"/>
          <w:b/>
          <w:bCs/>
          <w:color w:val="auto"/>
          <w:spacing w:val="0"/>
          <w:w w:val="100"/>
          <w:position w:val="0"/>
          <w:sz w:val="36"/>
          <w:szCs w:val="36"/>
          <w:highlight w:val="none"/>
          <w:shd w:val="clear" w:color="auto" w:fill="auto"/>
          <w:lang w:val="en-US" w:eastAsia="zh-CN" w:bidi="en-US"/>
        </w:rPr>
      </w:pPr>
    </w:p>
    <w:p>
      <w:pPr>
        <w:rPr>
          <w:rFonts w:hint="eastAsia" w:ascii="仿宋" w:hAnsi="仿宋" w:eastAsia="仿宋" w:cs="仿宋"/>
          <w:b/>
          <w:bCs/>
          <w:color w:val="auto"/>
          <w:spacing w:val="0"/>
          <w:w w:val="100"/>
          <w:position w:val="0"/>
          <w:sz w:val="36"/>
          <w:szCs w:val="36"/>
          <w:highlight w:val="none"/>
          <w:shd w:val="clear" w:color="auto" w:fill="auto"/>
          <w:lang w:val="en-US" w:eastAsia="zh-CN" w:bidi="en-US"/>
        </w:rPr>
      </w:pPr>
      <w:r>
        <w:rPr>
          <w:rFonts w:hint="eastAsia" w:ascii="仿宋" w:hAnsi="仿宋" w:eastAsia="仿宋" w:cs="仿宋"/>
          <w:b/>
          <w:bCs/>
          <w:color w:val="auto"/>
          <w:spacing w:val="0"/>
          <w:w w:val="100"/>
          <w:position w:val="0"/>
          <w:sz w:val="36"/>
          <w:szCs w:val="36"/>
          <w:highlight w:val="none"/>
          <w:shd w:val="clear" w:color="auto" w:fill="auto"/>
          <w:lang w:val="en-US" w:eastAsia="zh-CN" w:bidi="en-US"/>
        </w:rPr>
        <w:br w:type="page"/>
      </w:r>
    </w:p>
    <w:p>
      <w:pPr>
        <w:numPr>
          <w:ilvl w:val="0"/>
          <w:numId w:val="0"/>
        </w:numPr>
        <w:shd w:val="clear" w:color="auto" w:fill="auto"/>
        <w:tabs>
          <w:tab w:val="left" w:pos="540"/>
        </w:tabs>
        <w:spacing w:before="0" w:line="240" w:lineRule="atLeast"/>
        <w:outlineLvl w:val="9"/>
        <w:rPr>
          <w:rFonts w:hint="eastAsia" w:ascii="仿宋" w:hAnsi="仿宋" w:eastAsia="仿宋" w:cs="仿宋"/>
          <w:b/>
          <w:bCs/>
          <w:color w:val="auto"/>
          <w:spacing w:val="0"/>
          <w:w w:val="100"/>
          <w:position w:val="0"/>
          <w:sz w:val="36"/>
          <w:szCs w:val="36"/>
          <w:highlight w:val="none"/>
          <w:shd w:val="clear" w:color="auto" w:fill="auto"/>
          <w:lang w:val="en-US" w:eastAsia="en-US" w:bidi="en-US"/>
        </w:rPr>
      </w:pPr>
      <w:r>
        <w:rPr>
          <w:rFonts w:hint="eastAsia" w:ascii="仿宋" w:hAnsi="仿宋" w:eastAsia="仿宋" w:cs="仿宋"/>
          <w:b/>
          <w:bCs/>
          <w:color w:val="auto"/>
          <w:spacing w:val="0"/>
          <w:w w:val="100"/>
          <w:position w:val="0"/>
          <w:sz w:val="36"/>
          <w:szCs w:val="36"/>
          <w:highlight w:val="none"/>
          <w:shd w:val="clear" w:color="auto" w:fill="auto"/>
          <w:lang w:val="en-US" w:eastAsia="zh-CN" w:bidi="en-US"/>
        </w:rPr>
        <w:t>5、</w:t>
      </w:r>
      <w:r>
        <w:rPr>
          <w:rFonts w:hint="eastAsia" w:ascii="仿宋" w:hAnsi="仿宋" w:eastAsia="仿宋" w:cs="仿宋"/>
          <w:b/>
          <w:bCs/>
          <w:color w:val="auto"/>
          <w:spacing w:val="0"/>
          <w:w w:val="100"/>
          <w:position w:val="0"/>
          <w:sz w:val="36"/>
          <w:szCs w:val="36"/>
          <w:highlight w:val="none"/>
          <w:shd w:val="clear" w:color="auto" w:fill="auto"/>
          <w:lang w:val="en-US" w:eastAsia="en-US" w:bidi="en-US"/>
        </w:rPr>
        <w:t>投标保证金缴纳凭证或投标担保函</w:t>
      </w:r>
    </w:p>
    <w:p>
      <w:pPr>
        <w:shd w:val="clear" w:color="auto" w:fill="auto"/>
        <w:ind w:firstLine="490" w:firstLineChars="200"/>
        <w:outlineLvl w:val="9"/>
        <w:rPr>
          <w:rFonts w:hint="eastAsia" w:ascii="仿宋" w:hAnsi="仿宋" w:eastAsia="仿宋" w:cs="仿宋"/>
          <w:color w:val="auto"/>
          <w:sz w:val="24"/>
          <w:highlight w:val="none"/>
        </w:rPr>
      </w:pPr>
      <w:bookmarkStart w:id="97" w:name="_Toc494296665"/>
      <w:bookmarkStart w:id="98" w:name="_Toc494296991"/>
    </w:p>
    <w:bookmarkEnd w:id="97"/>
    <w:bookmarkEnd w:id="98"/>
    <w:p>
      <w:pPr>
        <w:pStyle w:val="6"/>
        <w:shd w:val="clear" w:color="auto" w:fill="auto"/>
        <w:outlineLvl w:val="9"/>
        <w:rPr>
          <w:rFonts w:hint="eastAsia" w:ascii="仿宋" w:hAnsi="仿宋" w:eastAsia="仿宋" w:cs="仿宋"/>
          <w:color w:val="auto"/>
          <w:highlight w:val="none"/>
        </w:rPr>
      </w:pPr>
    </w:p>
    <w:tbl>
      <w:tblPr>
        <w:tblStyle w:val="24"/>
        <w:tblpPr w:leftFromText="180" w:rightFromText="180" w:vertAnchor="text" w:horzAnchor="page" w:tblpX="2090" w:tblpY="750"/>
        <w:tblOverlap w:val="never"/>
        <w:tblW w:w="7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投标保证金收据</w:t>
            </w:r>
          </w:p>
        </w:tc>
      </w:tr>
    </w:tbl>
    <w:p>
      <w:pPr>
        <w:pStyle w:val="6"/>
        <w:shd w:val="clear" w:color="auto" w:fill="auto"/>
        <w:outlineLvl w:val="9"/>
        <w:rPr>
          <w:rFonts w:hint="eastAsia" w:ascii="仿宋" w:hAnsi="仿宋" w:eastAsia="仿宋" w:cs="仿宋"/>
          <w:color w:val="auto"/>
          <w:highlight w:val="none"/>
        </w:rPr>
      </w:pPr>
    </w:p>
    <w:p>
      <w:pPr>
        <w:shd w:val="clear" w:color="auto" w:fill="auto"/>
        <w:spacing w:line="240" w:lineRule="atLeast"/>
        <w:ind w:left="1169" w:leftChars="257" w:hanging="540"/>
        <w:jc w:val="center"/>
        <w:outlineLvl w:val="9"/>
        <w:rPr>
          <w:rFonts w:hint="eastAsia" w:ascii="仿宋" w:hAnsi="仿宋" w:eastAsia="仿宋" w:cs="仿宋"/>
          <w:color w:val="auto"/>
          <w:sz w:val="24"/>
          <w:highlight w:val="none"/>
        </w:rPr>
      </w:pPr>
    </w:p>
    <w:p>
      <w:pPr>
        <w:shd w:val="clear" w:color="auto" w:fill="auto"/>
        <w:outlineLvl w:val="9"/>
        <w:rPr>
          <w:rFonts w:hint="eastAsia" w:ascii="仿宋" w:hAnsi="仿宋" w:eastAsia="仿宋" w:cs="仿宋"/>
          <w:color w:val="auto"/>
          <w:sz w:val="28"/>
          <w:szCs w:val="28"/>
          <w:highlight w:val="none"/>
        </w:rPr>
      </w:pPr>
    </w:p>
    <w:tbl>
      <w:tblPr>
        <w:tblStyle w:val="24"/>
        <w:tblpPr w:leftFromText="180" w:rightFromText="180" w:vertAnchor="text" w:horzAnchor="page" w:tblpX="2090" w:tblpY="750"/>
        <w:tblOverlap w:val="never"/>
        <w:tblW w:w="7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t>打款凭证</w:t>
            </w:r>
          </w:p>
        </w:tc>
      </w:tr>
    </w:tbl>
    <w:p>
      <w:pPr>
        <w:pStyle w:val="6"/>
        <w:shd w:val="clear" w:color="auto" w:fill="auto"/>
        <w:outlineLvl w:val="9"/>
        <w:rPr>
          <w:rFonts w:hint="eastAsia" w:ascii="仿宋" w:hAnsi="仿宋" w:eastAsia="仿宋" w:cs="仿宋"/>
          <w:color w:val="auto"/>
          <w:highlight w:val="none"/>
        </w:rPr>
      </w:pPr>
    </w:p>
    <w:p>
      <w:pPr>
        <w:pStyle w:val="6"/>
        <w:shd w:val="clear" w:color="auto" w:fill="auto"/>
        <w:outlineLvl w:val="9"/>
        <w:rPr>
          <w:rFonts w:hint="eastAsia" w:ascii="仿宋" w:hAnsi="仿宋" w:eastAsia="仿宋" w:cs="仿宋"/>
          <w:color w:val="auto"/>
          <w:highlight w:val="none"/>
        </w:rPr>
      </w:pPr>
    </w:p>
    <w:p>
      <w:pPr>
        <w:pStyle w:val="6"/>
        <w:shd w:val="clear" w:color="auto" w:fill="auto"/>
        <w:outlineLvl w:val="9"/>
        <w:rPr>
          <w:rFonts w:hint="eastAsia" w:ascii="仿宋" w:hAnsi="仿宋" w:eastAsia="仿宋" w:cs="仿宋"/>
          <w:color w:val="auto"/>
          <w:highlight w:val="none"/>
        </w:rPr>
      </w:pPr>
    </w:p>
    <w:p>
      <w:pPr>
        <w:pStyle w:val="6"/>
        <w:shd w:val="clear" w:color="auto" w:fill="auto"/>
        <w:outlineLvl w:val="9"/>
        <w:rPr>
          <w:rFonts w:hint="eastAsia" w:ascii="仿宋" w:hAnsi="仿宋" w:eastAsia="仿宋" w:cs="仿宋"/>
          <w:color w:val="auto"/>
          <w:highlight w:val="none"/>
        </w:rPr>
      </w:pPr>
    </w:p>
    <w:p>
      <w:pPr>
        <w:pStyle w:val="6"/>
        <w:shd w:val="clear" w:color="auto" w:fill="auto"/>
        <w:outlineLvl w:val="9"/>
        <w:rPr>
          <w:rFonts w:hint="eastAsia" w:ascii="仿宋" w:hAnsi="仿宋" w:eastAsia="仿宋" w:cs="仿宋"/>
          <w:color w:val="auto"/>
          <w:highlight w:val="none"/>
        </w:rPr>
      </w:pPr>
    </w:p>
    <w:p>
      <w:pPr>
        <w:pStyle w:val="6"/>
        <w:shd w:val="clear" w:color="auto" w:fill="auto"/>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both"/>
        <w:outlineLvl w:val="9"/>
        <w:rPr>
          <w:rFonts w:hint="eastAsia" w:ascii="仿宋" w:hAnsi="仿宋" w:eastAsia="仿宋" w:cs="仿宋"/>
          <w:color w:val="auto"/>
          <w:sz w:val="28"/>
          <w:szCs w:val="28"/>
          <w:highlight w:val="none"/>
        </w:rPr>
      </w:pPr>
    </w:p>
    <w:p>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pPr>
        <w:shd w:val="clear" w:color="auto" w:fill="auto"/>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政府采购投标担保函 （项目用）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编号：</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default"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                   （采购人或采购代理机构）：  </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鉴于               （以下简称“投标人”）拟参加编号为                 的                                       </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项目（以下简称“本项目”）投标，根据本项目采购文件，供应商参加投标时应向你方交纳投标保证金，且可以投标担保函的形式交纳投标保证金。应供应商的申请，我方以保证的方式向你方提供如下投标保证金担保：</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一、保证责任的情形及保证金额</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（一）在投标人出现下列情形之一时，我方承担保证责任：</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1．中标后投标人无正当理由不与采购人或者采购代理机构签订《政府采购合同》；</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2．询价通知书规定的投标人应当缴纳保证金的其他情形。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（二）我方承担保证责任的最高金额为人民币      元（大写            ），即本项目的投标保证金金额。</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二、保证的方式及保证期间</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我方保证的方式为：连带责任保证。</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我方的保证期间为：自本保函生效之日起    个月止。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三、承担保证责任的程序</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1．你方要求我方承担保证责任的，应在本保函保证期间内向我方发出书面索赔通知。索赔通知应写明要求索赔的金额，支付款项应到达的账号，并附有证明投标人发生我方应承担保证责任情形的事实材料。</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2．我方在收到索赔通知及相关证明材料后，在　　　个工作日内进行审查，符合应承担保证责任情形的，我方应按照你方的要求代投标人向你方支付投标保证金。</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四、保证责任的终止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1．保证期间届满你方未向我方书面主张保证责任的，自保证期间届满次日起，我方保证责任自动终止。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2．我方按照本保函向你贵方履行了保证责任后，自我方向你贵方支付款项（支付款项从我方账户划出）之日起，保证责任终止。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3．按照法律法规的规定或出现我方保证责任终止的其它情形的，我方在本保函项下的保证责任亦终止。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五、免责条款</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1．依照法律规定或你方与投标人的另行约定，全部或者部分免除投标人投标保证金义务时，我方亦免除相应的保证责任。</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2．因你方原因致使投标人发生本保函第一条第（一）款约定情形的，我方不承担保证责任。</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3．因不可抗力造成投标人发生本保函第一条约定情形的，我方不承担保证责任。</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4．你方或其他有权机关对询价通知书进行任何澄清或修改，加重我方保证责任的，我方对加重部分不承担保证责任，但该澄清或修改经我方事先书面同意的除外。</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六、争议的解决</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因本保函发生的纠纷，由你我双方协商解决，协商不成的，通过诉讼程序解决，诉讼管辖地法院为          法院。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七、保函的生效</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本保函自我方加盖公章之日起生效。</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p>
    <w:p>
      <w:pPr>
        <w:keepNext w:val="0"/>
        <w:keepLines w:val="0"/>
        <w:pageBreakBefore w:val="0"/>
        <w:widowControl w:val="0"/>
        <w:shd w:val="clear" w:color="auto" w:fill="auto"/>
        <w:tabs>
          <w:tab w:val="left" w:pos="5580"/>
          <w:tab w:val="left" w:pos="7010"/>
          <w:tab w:val="right" w:pos="9116"/>
        </w:tabs>
        <w:kinsoku/>
        <w:wordWrap/>
        <w:overflowPunct/>
        <w:topLinePunct w:val="0"/>
        <w:autoSpaceDE/>
        <w:autoSpaceDN/>
        <w:bidi w:val="0"/>
        <w:adjustRightInd/>
        <w:snapToGrid/>
        <w:spacing w:line="500" w:lineRule="atLeast"/>
        <w:jc w:val="left"/>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ab/>
      </w: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保证人：（公章）</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                               </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jc w:val="center"/>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sectPr>
          <w:pgSz w:w="11905" w:h="16838"/>
          <w:pgMar w:top="1440" w:right="1417" w:bottom="1440" w:left="1417" w:header="850" w:footer="992" w:gutter="0"/>
          <w:pgNumType w:fmt="decimal"/>
          <w:cols w:space="0" w:num="1"/>
          <w:rtlGutter w:val="0"/>
          <w:docGrid w:type="linesAndChars" w:linePitch="335" w:charSpace="1057"/>
        </w:sect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                             年     月     日  </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jc w:val="left"/>
        <w:textAlignment w:val="auto"/>
        <w:outlineLvl w:val="9"/>
        <w:rPr>
          <w:rFonts w:hint="eastAsia" w:ascii="仿宋" w:hAnsi="仿宋" w:eastAsia="仿宋" w:cs="仿宋"/>
          <w:b/>
          <w:bCs/>
          <w:color w:val="auto"/>
          <w:highlight w:val="none"/>
          <w:lang w:val="en-US" w:eastAsia="zh-CN"/>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90" w:firstLineChars="200"/>
        <w:jc w:val="left"/>
        <w:textAlignment w:val="auto"/>
        <w:outlineLvl w:val="9"/>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6、投标企业须提供投标人（被授权在职人员）近期社保证明</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90" w:firstLineChars="200"/>
        <w:jc w:val="left"/>
        <w:textAlignment w:val="auto"/>
        <w:outlineLvl w:val="9"/>
        <w:rPr>
          <w:rFonts w:hint="eastAsia" w:ascii="仿宋" w:hAnsi="仿宋" w:eastAsia="仿宋" w:cs="仿宋"/>
          <w:color w:val="auto"/>
          <w:highlight w:val="none"/>
          <w:lang w:val="en-US" w:eastAsia="zh-CN"/>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90" w:firstLineChars="200"/>
        <w:jc w:val="left"/>
        <w:textAlignment w:val="auto"/>
        <w:outlineLvl w:val="9"/>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说明：复印件上应加盖本单位章</w:t>
      </w:r>
    </w:p>
    <w:p>
      <w:pPr>
        <w:outlineLvl w:val="9"/>
        <w:rPr>
          <w:rFonts w:hint="eastAsia" w:ascii="仿宋" w:hAnsi="仿宋" w:eastAsia="仿宋" w:cs="仿宋"/>
          <w:color w:val="auto"/>
          <w:sz w:val="24"/>
          <w:highlight w:val="none"/>
        </w:rPr>
      </w:pP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b/>
          <w:bCs/>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b/>
          <w:bCs/>
          <w:color w:val="auto"/>
          <w:spacing w:val="0"/>
          <w:w w:val="100"/>
          <w:kern w:val="0"/>
          <w:position w:val="0"/>
          <w:sz w:val="24"/>
          <w:szCs w:val="24"/>
          <w:highlight w:val="none"/>
          <w:shd w:val="clear" w:color="auto" w:fill="auto"/>
          <w:lang w:val="en-US" w:eastAsia="zh-CN" w:bidi="en-US"/>
        </w:rPr>
        <w:t>7、参加采购活动前三年内，在经营活动中没有重大违法记录，供应商须提供 “信用中国”网站（http://www.creditchina.gov.cn/）、“中国政府采购网”网站（http://www.ccgp.gov.cn）无违法违规行为的查询纪录（提供查询结果网页截图并加盖供应商公章）</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b/>
          <w:bCs/>
          <w:color w:val="auto"/>
          <w:spacing w:val="0"/>
          <w:w w:val="100"/>
          <w:kern w:val="0"/>
          <w:position w:val="0"/>
          <w:sz w:val="24"/>
          <w:szCs w:val="24"/>
          <w:highlight w:val="none"/>
          <w:shd w:val="clear" w:color="auto" w:fill="auto"/>
          <w:lang w:val="en-US" w:eastAsia="zh-CN" w:bidi="en-US"/>
        </w:rPr>
      </w:pPr>
    </w:p>
    <w:p>
      <w:pPr>
        <w:ind w:firstLine="490" w:firstLineChars="200"/>
        <w:outlineLvl w:val="9"/>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8、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p>
      <w:pPr>
        <w:outlineLvl w:val="9"/>
        <w:rPr>
          <w:rFonts w:hint="default" w:ascii="仿宋" w:hAnsi="仿宋" w:eastAsia="仿宋" w:cs="仿宋"/>
          <w:b/>
          <w:bCs/>
          <w:color w:val="auto"/>
          <w:highlight w:val="none"/>
          <w:lang w:val="en-US" w:eastAsia="zh-CN"/>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left="720" w:leftChars="0" w:right="0" w:rightChars="0"/>
        <w:jc w:val="left"/>
        <w:textAlignment w:val="auto"/>
        <w:outlineLvl w:val="9"/>
        <w:rPr>
          <w:rFonts w:hint="eastAsia" w:ascii="仿宋" w:hAnsi="仿宋" w:eastAsia="仿宋" w:cs="仿宋"/>
          <w:b/>
          <w:bCs/>
          <w:color w:val="auto"/>
          <w:highlight w:val="none"/>
        </w:rPr>
      </w:pPr>
      <w:r>
        <w:rPr>
          <w:rFonts w:hint="eastAsia" w:ascii="仿宋" w:hAnsi="仿宋" w:eastAsia="仿宋" w:cs="仿宋"/>
          <w:b/>
          <w:bCs/>
          <w:color w:val="auto"/>
          <w:highlight w:val="none"/>
          <w:lang w:val="en-US" w:eastAsia="zh-CN"/>
        </w:rPr>
        <w:t>9、</w:t>
      </w:r>
      <w:r>
        <w:rPr>
          <w:rFonts w:hint="eastAsia" w:ascii="仿宋" w:hAnsi="仿宋" w:eastAsia="仿宋" w:cs="仿宋"/>
          <w:b/>
          <w:bCs/>
          <w:color w:val="auto"/>
          <w:highlight w:val="none"/>
        </w:rPr>
        <w:t>投标人须知资料表要求的其他资格证明文件</w:t>
      </w: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pStyle w:val="13"/>
        <w:shd w:val="clear" w:color="auto" w:fill="auto"/>
        <w:tabs>
          <w:tab w:val="left" w:pos="5580"/>
        </w:tabs>
        <w:spacing w:line="240" w:lineRule="atLeast"/>
        <w:ind w:firstLine="490" w:firstLineChars="200"/>
        <w:outlineLvl w:val="9"/>
        <w:rPr>
          <w:rFonts w:hint="eastAsia" w:ascii="仿宋" w:hAnsi="仿宋" w:eastAsia="仿宋" w:cs="仿宋"/>
          <w:color w:val="auto"/>
          <w:sz w:val="24"/>
          <w:highlight w:val="none"/>
        </w:rPr>
      </w:pPr>
    </w:p>
    <w:p>
      <w:pPr>
        <w:keepNext/>
        <w:keepLines/>
        <w:pageBreakBefore w:val="0"/>
        <w:widowControl w:val="0"/>
        <w:shd w:val="clear" w:color="auto" w:fill="auto"/>
        <w:kinsoku/>
        <w:wordWrap/>
        <w:overflowPunct/>
        <w:topLinePunct w:val="0"/>
        <w:autoSpaceDE/>
        <w:autoSpaceDN/>
        <w:bidi w:val="0"/>
        <w:adjustRightInd/>
        <w:snapToGrid/>
        <w:spacing w:before="40" w:after="40" w:line="579" w:lineRule="auto"/>
        <w:textAlignment w:val="auto"/>
        <w:outlineLvl w:val="9"/>
        <w:rPr>
          <w:rFonts w:hint="eastAsia" w:ascii="仿宋" w:hAnsi="仿宋" w:eastAsia="仿宋" w:cs="仿宋"/>
          <w:color w:val="auto"/>
          <w:sz w:val="32"/>
          <w:szCs w:val="32"/>
          <w:highlight w:val="none"/>
        </w:rPr>
      </w:pPr>
      <w:bookmarkStart w:id="99" w:name="_Toc5695"/>
      <w:bookmarkStart w:id="100" w:name="_Toc11180"/>
      <w:bookmarkStart w:id="101" w:name="_Toc515647816"/>
      <w:bookmarkStart w:id="102" w:name="_Toc22967"/>
    </w:p>
    <w:p>
      <w:pPr>
        <w:outlineLvl w:val="9"/>
        <w:rPr>
          <w:rFonts w:hint="eastAsia" w:ascii="仿宋" w:hAnsi="仿宋" w:eastAsia="仿宋" w:cs="仿宋"/>
          <w:color w:val="auto"/>
          <w:sz w:val="32"/>
          <w:szCs w:val="32"/>
          <w:highlight w:val="none"/>
        </w:rPr>
      </w:pPr>
    </w:p>
    <w:p>
      <w:pPr>
        <w:pStyle w:val="31"/>
        <w:outlineLvl w:val="9"/>
        <w:rPr>
          <w:rFonts w:hint="eastAsia" w:ascii="仿宋" w:hAnsi="仿宋" w:eastAsia="仿宋" w:cs="仿宋"/>
          <w:color w:val="auto"/>
          <w:sz w:val="32"/>
          <w:szCs w:val="32"/>
          <w:highlight w:val="none"/>
        </w:rPr>
      </w:pPr>
    </w:p>
    <w:p>
      <w:pPr>
        <w:pStyle w:val="31"/>
        <w:outlineLvl w:val="9"/>
        <w:rPr>
          <w:rFonts w:hint="eastAsia" w:ascii="仿宋" w:hAnsi="仿宋" w:eastAsia="仿宋" w:cs="仿宋"/>
          <w:color w:val="auto"/>
          <w:sz w:val="32"/>
          <w:szCs w:val="32"/>
          <w:highlight w:val="none"/>
        </w:rPr>
      </w:pPr>
    </w:p>
    <w:p>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pPr>
        <w:keepNext/>
        <w:keepLines/>
        <w:pageBreakBefore w:val="0"/>
        <w:widowControl w:val="0"/>
        <w:shd w:val="clear" w:color="auto" w:fill="auto"/>
        <w:kinsoku/>
        <w:wordWrap/>
        <w:overflowPunct/>
        <w:topLinePunct w:val="0"/>
        <w:autoSpaceDE/>
        <w:autoSpaceDN/>
        <w:bidi w:val="0"/>
        <w:adjustRightInd/>
        <w:snapToGrid/>
        <w:spacing w:before="40" w:after="40" w:line="579" w:lineRule="auto"/>
        <w:textAlignment w:val="auto"/>
        <w:outlineLvl w:val="9"/>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第二部分  商务及技术文件</w:t>
      </w:r>
      <w:bookmarkEnd w:id="99"/>
      <w:bookmarkEnd w:id="100"/>
      <w:bookmarkEnd w:id="101"/>
      <w:bookmarkEnd w:id="102"/>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1、投标函</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2、开标一览表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3、货物说明一览表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4、投标分项报价表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5、技术规格偏离表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6、商务条款偏离表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7、投标人基本情况表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8、近三年（2019年1月1日至今）类似项目业绩表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9、中小企业声明函(货物)</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10、《残疾人福利性单位声明函》</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11、评分标准和细则中技术部分证明材料</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12、评分标准和细则中技术部分证明材料（格式自拟）</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13、投标人认为有必要提供的其他证明材料（格式自拟）</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br w:type="page"/>
      </w:r>
    </w:p>
    <w:p>
      <w:pPr>
        <w:pStyle w:val="9"/>
        <w:numPr>
          <w:ilvl w:val="0"/>
          <w:numId w:val="0"/>
        </w:numPr>
        <w:kinsoku w:val="0"/>
        <w:overflowPunct w:val="0"/>
        <w:spacing w:before="130" w:line="355" w:lineRule="auto"/>
        <w:ind w:left="480" w:leftChars="0" w:right="7" w:rightChars="0"/>
        <w:jc w:val="center"/>
        <w:outlineLvl w:val="9"/>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lang w:val="en-US" w:eastAsia="zh-CN"/>
        </w:rPr>
        <w:t>1</w:t>
      </w:r>
      <w:r>
        <w:rPr>
          <w:rFonts w:hint="eastAsia" w:ascii="仿宋" w:hAnsi="仿宋" w:eastAsia="仿宋" w:cs="仿宋"/>
          <w:b/>
          <w:bCs/>
          <w:color w:val="auto"/>
          <w:sz w:val="36"/>
          <w:szCs w:val="36"/>
          <w:highlight w:val="none"/>
        </w:rPr>
        <w:t>、投标函</w:t>
      </w:r>
    </w:p>
    <w:p>
      <w:pPr>
        <w:keepNext w:val="0"/>
        <w:keepLines w:val="0"/>
        <w:pageBreakBefore w:val="0"/>
        <w:widowControl w:val="0"/>
        <w:topLinePunct w:val="0"/>
        <w:autoSpaceDE/>
        <w:autoSpaceDN/>
        <w:bidi w:val="0"/>
        <w:adjustRightInd/>
        <w:snapToGrid/>
        <w:spacing w:line="440" w:lineRule="exact"/>
        <w:textAlignment w:val="auto"/>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致：</w:t>
      </w:r>
      <w:r>
        <w:rPr>
          <w:rFonts w:hint="eastAsia" w:ascii="仿宋" w:hAnsi="仿宋" w:eastAsia="仿宋" w:cs="仿宋"/>
          <w:color w:val="auto"/>
          <w:kern w:val="0"/>
          <w:sz w:val="24"/>
          <w:highlight w:val="none"/>
          <w:u w:val="single"/>
        </w:rPr>
        <w:t xml:space="preserve">                     </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为响应你方组织的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项目的招标项目编号为：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，我方愿参与投标。</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我方确认收到贵方提供的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none"/>
        </w:rPr>
        <w:t>招标</w:t>
      </w:r>
      <w:r>
        <w:rPr>
          <w:rFonts w:hint="eastAsia" w:ascii="仿宋" w:hAnsi="仿宋" w:eastAsia="仿宋" w:cs="仿宋"/>
          <w:color w:val="auto"/>
          <w:kern w:val="0"/>
          <w:sz w:val="24"/>
          <w:highlight w:val="none"/>
        </w:rPr>
        <w:t>文件的全部内容。</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我方在参与投标前已详细研究了招标文件的所有内容，包括澄清、修改文件（如果有）和所有已提供的参考资料以及有关附件，我方完全明白并认为此招标文件没有倾向性，也不存在排斥潜在报价投标人的内容，我方同意招标文件的相关条款，放弃对招标文件提出误解和质疑的一切权力。</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u w:val="single"/>
        </w:rPr>
        <w:t xml:space="preserve">      (投标人名称)      </w:t>
      </w:r>
      <w:r>
        <w:rPr>
          <w:rFonts w:hint="eastAsia" w:ascii="仿宋" w:hAnsi="仿宋" w:eastAsia="仿宋" w:cs="仿宋"/>
          <w:color w:val="auto"/>
          <w:kern w:val="0"/>
          <w:sz w:val="24"/>
          <w:highlight w:val="none"/>
        </w:rPr>
        <w:t>作为投标人正式授权</w:t>
      </w:r>
      <w:r>
        <w:rPr>
          <w:rFonts w:hint="eastAsia" w:ascii="仿宋" w:hAnsi="仿宋" w:eastAsia="仿宋" w:cs="仿宋"/>
          <w:color w:val="auto"/>
          <w:kern w:val="0"/>
          <w:sz w:val="24"/>
          <w:highlight w:val="none"/>
          <w:u w:val="single"/>
        </w:rPr>
        <w:t xml:space="preserve">  (授权代表全名, 职务)  </w:t>
      </w:r>
      <w:r>
        <w:rPr>
          <w:rFonts w:hint="eastAsia" w:ascii="仿宋" w:hAnsi="仿宋" w:eastAsia="仿宋" w:cs="仿宋"/>
          <w:color w:val="auto"/>
          <w:kern w:val="0"/>
          <w:sz w:val="24"/>
          <w:highlight w:val="none"/>
        </w:rPr>
        <w:t>代表我方全权处理有关本报价的一切事宜。</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我方已完全明白招标文件的所有条款要求，并申明如下：</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（一）按招标文件提供的全部货物与相关服务的投标总价详见《报价一览表》。</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（二）本投标文件的有效期为投标截止时间起</w:t>
      </w:r>
      <w:r>
        <w:rPr>
          <w:rFonts w:hint="eastAsia" w:ascii="仿宋" w:hAnsi="仿宋" w:eastAsia="仿宋" w:cs="仿宋"/>
          <w:color w:val="auto"/>
          <w:kern w:val="0"/>
          <w:sz w:val="24"/>
          <w:highlight w:val="none"/>
          <w:u w:val="single"/>
          <w:lang w:val="en-US" w:eastAsia="zh-CN"/>
        </w:rPr>
        <w:t>60</w:t>
      </w:r>
      <w:r>
        <w:rPr>
          <w:rFonts w:hint="eastAsia" w:ascii="仿宋" w:hAnsi="仿宋" w:eastAsia="仿宋" w:cs="仿宋"/>
          <w:color w:val="auto"/>
          <w:kern w:val="0"/>
          <w:sz w:val="24"/>
          <w:highlight w:val="none"/>
        </w:rPr>
        <w:t>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（三）我方同意按照贵方可能提出的要求而提供与投标有关的任何其它数据、信息或资料。</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四</w:t>
      </w:r>
      <w:r>
        <w:rPr>
          <w:rFonts w:hint="eastAsia" w:ascii="仿宋" w:hAnsi="仿宋" w:eastAsia="仿宋" w:cs="仿宋"/>
          <w:color w:val="auto"/>
          <w:kern w:val="0"/>
          <w:sz w:val="24"/>
          <w:highlight w:val="none"/>
        </w:rPr>
        <w:t>）我方理解贵方不一定接受最低投标价或任何贵方可能收到的投标。</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五</w:t>
      </w:r>
      <w:r>
        <w:rPr>
          <w:rFonts w:hint="eastAsia" w:ascii="仿宋" w:hAnsi="仿宋" w:eastAsia="仿宋" w:cs="仿宋"/>
          <w:color w:val="auto"/>
          <w:kern w:val="0"/>
          <w:sz w:val="24"/>
          <w:highlight w:val="none"/>
        </w:rPr>
        <w:t>）我方如果中标，将保证履行招标文件及其澄清、修改文件（如果有）中的全部责任和义务，按质、按量、按期完成《招标内容》及《合同书》中的全部任务。</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六</w:t>
      </w:r>
      <w:r>
        <w:rPr>
          <w:rFonts w:hint="eastAsia" w:ascii="仿宋" w:hAnsi="仿宋" w:eastAsia="仿宋" w:cs="仿宋"/>
          <w:color w:val="auto"/>
          <w:kern w:val="0"/>
          <w:sz w:val="24"/>
          <w:highlight w:val="none"/>
        </w:rPr>
        <w:t>）如我方被授予合同，我方承诺支付就本次招标应支付或将支付的中标服务费（详见按招标文件要求格式填写的《中标服务费支付承诺书》）。</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七</w:t>
      </w:r>
      <w:r>
        <w:rPr>
          <w:rFonts w:hint="eastAsia" w:ascii="仿宋" w:hAnsi="仿宋" w:eastAsia="仿宋" w:cs="仿宋"/>
          <w:color w:val="auto"/>
          <w:kern w:val="0"/>
          <w:sz w:val="24"/>
          <w:highlight w:val="none"/>
        </w:rPr>
        <w:t>）我方作为在法律、财务和运作上独立于采购人、招标代理机构的投标人，在此保证所提交的所有文件和全部说明是真实的和正确的。</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八</w:t>
      </w:r>
      <w:r>
        <w:rPr>
          <w:rFonts w:hint="eastAsia" w:ascii="仿宋" w:hAnsi="仿宋" w:eastAsia="仿宋" w:cs="仿宋"/>
          <w:color w:val="auto"/>
          <w:kern w:val="0"/>
          <w:sz w:val="24"/>
          <w:highlight w:val="none"/>
        </w:rPr>
        <w:t>）我方投标报价已包含应向知识产权所有权人支付的所有相关税费，并保证采购人在中国使用我方提供的货物时，如有第三方提出侵犯其知识产权主张的，责任由我方承担。</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九</w:t>
      </w:r>
      <w:r>
        <w:rPr>
          <w:rFonts w:hint="eastAsia" w:ascii="仿宋" w:hAnsi="仿宋" w:eastAsia="仿宋" w:cs="仿宋"/>
          <w:color w:val="auto"/>
          <w:kern w:val="0"/>
          <w:sz w:val="24"/>
          <w:highlight w:val="none"/>
        </w:rPr>
        <w:t>）我方与其他投标人不存在单位负责人为同一人或者存在直接控股、管理关系。</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（十）我方承诺未为本项目提供整体设计、规范编制或者项目管理、监理、检测等服务。</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（十</w:t>
      </w:r>
      <w:r>
        <w:rPr>
          <w:rFonts w:hint="eastAsia" w:ascii="仿宋" w:hAnsi="仿宋" w:eastAsia="仿宋" w:cs="仿宋"/>
          <w:color w:val="auto"/>
          <w:kern w:val="0"/>
          <w:sz w:val="24"/>
          <w:highlight w:val="none"/>
          <w:lang w:eastAsia="zh-CN"/>
        </w:rPr>
        <w:t>一</w:t>
      </w:r>
      <w:r>
        <w:rPr>
          <w:rFonts w:hint="eastAsia" w:ascii="仿宋" w:hAnsi="仿宋" w:eastAsia="仿宋" w:cs="仿宋"/>
          <w:color w:val="auto"/>
          <w:kern w:val="0"/>
          <w:sz w:val="24"/>
          <w:highlight w:val="none"/>
        </w:rPr>
        <w:t>）我方具备《政府采购法》第二十二条规定的条件，承诺如下：</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（1）我方已依法缴纳了各项税费及社会保险费用，如有需要，可随时向采购人提供近三个月内的相关缴费证明，以便核查。</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（2）我方已依法建立健全的财务会计制度，如有需要，可随时向采购人提供相关的证明材料，以便核查。</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（3）我方参加本项目政府采购活动前3年内在经营活动中没有重大违法记录。</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（4）我方具备履行合同所必需的设备和专业技术能力。</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（5）我方符合法律、行政法规规定的其他条件。</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以上内容如有虚假或与事实不符的，评审委员会可将我方做无效投标处理，我方愿意承担相应的法律责任。</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（十三）我方对在本函及投标文件中所作的所有承诺承担法律责任。</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（十四）所有与本招标有关的函件请发往下列地址：</w:t>
      </w:r>
    </w:p>
    <w:p>
      <w:pPr>
        <w:keepNext w:val="0"/>
        <w:keepLines w:val="0"/>
        <w:pageBreakBefore w:val="0"/>
        <w:widowControl w:val="0"/>
        <w:topLinePunct w:val="0"/>
        <w:autoSpaceDE/>
        <w:autoSpaceDN/>
        <w:bidi w:val="0"/>
        <w:adjustRightInd/>
        <w:snapToGrid/>
        <w:spacing w:line="440" w:lineRule="exac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地    址：</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.邮政编码：</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pPr>
        <w:keepNext w:val="0"/>
        <w:keepLines w:val="0"/>
        <w:pageBreakBefore w:val="0"/>
        <w:widowControl w:val="0"/>
        <w:topLinePunct w:val="0"/>
        <w:autoSpaceDE/>
        <w:autoSpaceDN/>
        <w:bidi w:val="0"/>
        <w:adjustRightInd/>
        <w:snapToGrid/>
        <w:spacing w:line="440" w:lineRule="exac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电    话：</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pPr>
        <w:keepNext w:val="0"/>
        <w:keepLines w:val="0"/>
        <w:pageBreakBefore w:val="0"/>
        <w:widowControl w:val="0"/>
        <w:topLinePunct w:val="0"/>
        <w:autoSpaceDE/>
        <w:autoSpaceDN/>
        <w:bidi w:val="0"/>
        <w:adjustRightInd/>
        <w:snapToGrid/>
        <w:spacing w:line="440" w:lineRule="exac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传    真：</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pPr>
        <w:keepNext w:val="0"/>
        <w:keepLines w:val="0"/>
        <w:pageBreakBefore w:val="0"/>
        <w:widowControl w:val="0"/>
        <w:topLinePunct w:val="0"/>
        <w:autoSpaceDE/>
        <w:autoSpaceDN/>
        <w:bidi w:val="0"/>
        <w:adjustRightInd/>
        <w:snapToGrid/>
        <w:spacing w:line="440" w:lineRule="exac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代表姓名：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.职    务：</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pPr>
        <w:keepNext w:val="0"/>
        <w:keepLines w:val="0"/>
        <w:pageBreakBefore w:val="0"/>
        <w:widowControl w:val="0"/>
        <w:topLinePunct w:val="0"/>
        <w:autoSpaceDE/>
        <w:autoSpaceDN/>
        <w:bidi w:val="0"/>
        <w:adjustRightInd/>
        <w:snapToGrid/>
        <w:spacing w:line="440" w:lineRule="exact"/>
        <w:ind w:right="480"/>
        <w:jc w:val="righ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投标人：</w:t>
      </w:r>
      <w:r>
        <w:rPr>
          <w:rFonts w:hint="eastAsia" w:ascii="仿宋" w:hAnsi="仿宋" w:eastAsia="仿宋" w:cs="仿宋"/>
          <w:color w:val="auto"/>
          <w:kern w:val="0"/>
          <w:sz w:val="24"/>
          <w:highlight w:val="none"/>
          <w:u w:val="single"/>
        </w:rPr>
        <w:tab/>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（公章） </w:t>
      </w:r>
    </w:p>
    <w:p>
      <w:pPr>
        <w:keepNext w:val="0"/>
        <w:keepLines w:val="0"/>
        <w:pageBreakBefore w:val="0"/>
        <w:widowControl w:val="0"/>
        <w:wordWrap w:val="0"/>
        <w:topLinePunct w:val="0"/>
        <w:autoSpaceDE/>
        <w:autoSpaceDN/>
        <w:bidi w:val="0"/>
        <w:adjustRightInd/>
        <w:snapToGrid/>
        <w:spacing w:line="440" w:lineRule="exact"/>
        <w:ind w:firstLine="490" w:firstLineChars="200"/>
        <w:jc w:val="righ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法定代表人或委托人：</w:t>
      </w:r>
      <w:r>
        <w:rPr>
          <w:rFonts w:hint="eastAsia" w:ascii="仿宋" w:hAnsi="仿宋" w:eastAsia="仿宋" w:cs="仿宋"/>
          <w:color w:val="auto"/>
          <w:kern w:val="0"/>
          <w:sz w:val="24"/>
          <w:highlight w:val="none"/>
        </w:rPr>
        <w:tab/>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签字或盖章</w:t>
      </w:r>
      <w:r>
        <w:rPr>
          <w:rFonts w:hint="eastAsia" w:ascii="仿宋" w:hAnsi="仿宋" w:eastAsia="仿宋" w:cs="仿宋"/>
          <w:color w:val="auto"/>
          <w:kern w:val="0"/>
          <w:sz w:val="24"/>
          <w:highlight w:val="none"/>
        </w:rPr>
        <w:t xml:space="preserve">）  </w:t>
      </w:r>
    </w:p>
    <w:p>
      <w:pPr>
        <w:keepNext w:val="0"/>
        <w:keepLines w:val="0"/>
        <w:pageBreakBefore w:val="0"/>
        <w:widowControl w:val="0"/>
        <w:wordWrap w:val="0"/>
        <w:topLinePunct w:val="0"/>
        <w:autoSpaceDE/>
        <w:autoSpaceDN/>
        <w:bidi w:val="0"/>
        <w:adjustRightInd/>
        <w:snapToGrid/>
        <w:spacing w:line="440" w:lineRule="exact"/>
        <w:ind w:firstLine="490" w:firstLineChars="200"/>
        <w:jc w:val="righ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rPr>
        <w:tab/>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u w:val="single"/>
        </w:rPr>
        <w:tab/>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pPr>
        <w:pStyle w:val="31"/>
        <w:outlineLvl w:val="9"/>
        <w:rPr>
          <w:rFonts w:hint="eastAsia" w:ascii="仿宋" w:hAnsi="仿宋" w:eastAsia="仿宋" w:cs="仿宋"/>
          <w:color w:val="auto"/>
          <w:sz w:val="24"/>
          <w:highlight w:val="none"/>
        </w:rPr>
      </w:pPr>
      <w:r>
        <w:rPr>
          <w:rFonts w:hint="eastAsia" w:ascii="仿宋" w:hAnsi="仿宋" w:eastAsia="仿宋" w:cs="仿宋"/>
          <w:color w:val="auto"/>
          <w:highlight w:val="none"/>
        </w:rPr>
        <w:br w:type="page"/>
      </w:r>
    </w:p>
    <w:p>
      <w:pPr>
        <w:pStyle w:val="6"/>
        <w:shd w:val="clear" w:color="auto" w:fill="auto"/>
        <w:tabs>
          <w:tab w:val="left" w:pos="5580"/>
        </w:tabs>
        <w:spacing w:line="240" w:lineRule="atLeast"/>
        <w:ind w:firstLine="3383" w:firstLineChars="927"/>
        <w:jc w:val="both"/>
        <w:outlineLvl w:val="9"/>
        <w:rPr>
          <w:rFonts w:hint="eastAsia" w:ascii="仿宋" w:hAnsi="仿宋" w:eastAsia="仿宋" w:cs="仿宋"/>
          <w:color w:val="auto"/>
          <w:highlight w:val="none"/>
        </w:rPr>
      </w:pPr>
      <w:r>
        <w:rPr>
          <w:rFonts w:hint="eastAsia" w:ascii="仿宋" w:hAnsi="仿宋" w:eastAsia="仿宋" w:cs="仿宋"/>
          <w:b/>
          <w:bCs w:val="0"/>
          <w:color w:val="auto"/>
          <w:sz w:val="36"/>
          <w:szCs w:val="24"/>
          <w:highlight w:val="none"/>
          <w:lang w:val="en-US" w:eastAsia="zh-CN"/>
        </w:rPr>
        <w:t>2</w:t>
      </w:r>
      <w:r>
        <w:rPr>
          <w:rFonts w:hint="eastAsia" w:ascii="仿宋" w:hAnsi="仿宋" w:eastAsia="仿宋" w:cs="仿宋"/>
          <w:b/>
          <w:bCs w:val="0"/>
          <w:color w:val="auto"/>
          <w:sz w:val="36"/>
          <w:szCs w:val="24"/>
          <w:highlight w:val="none"/>
          <w:lang w:eastAsia="zh-CN"/>
        </w:rPr>
        <w:t>、</w:t>
      </w:r>
      <w:r>
        <w:rPr>
          <w:rFonts w:hint="eastAsia" w:ascii="仿宋" w:hAnsi="仿宋" w:eastAsia="仿宋" w:cs="仿宋"/>
          <w:b/>
          <w:bCs w:val="0"/>
          <w:color w:val="auto"/>
          <w:sz w:val="36"/>
          <w:szCs w:val="24"/>
          <w:highlight w:val="none"/>
        </w:rPr>
        <w:t>开标一览表</w:t>
      </w:r>
      <w:r>
        <w:rPr>
          <w:rFonts w:hint="eastAsia" w:ascii="仿宋" w:hAnsi="仿宋" w:eastAsia="仿宋" w:cs="仿宋"/>
          <w:b w:val="0"/>
          <w:bCs/>
          <w:color w:val="auto"/>
          <w:sz w:val="36"/>
          <w:szCs w:val="24"/>
          <w:highlight w:val="none"/>
        </w:rPr>
        <w:cr/>
      </w:r>
    </w:p>
    <w:p>
      <w:pPr>
        <w:shd w:val="clear" w:color="auto" w:fill="auto"/>
        <w:adjustRightInd w:val="0"/>
        <w:snapToGrid w:val="0"/>
        <w:spacing w:line="500" w:lineRule="exact"/>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招标项目名称： </w:t>
      </w:r>
      <w:r>
        <w:rPr>
          <w:rFonts w:hint="eastAsia" w:ascii="仿宋" w:hAnsi="仿宋" w:eastAsia="仿宋" w:cs="仿宋"/>
          <w:color w:val="auto"/>
          <w:szCs w:val="21"/>
          <w:highlight w:val="none"/>
          <w:u w:val="single"/>
        </w:rPr>
        <w:t xml:space="preserve">                         </w:t>
      </w:r>
    </w:p>
    <w:p>
      <w:pPr>
        <w:shd w:val="clear" w:color="auto" w:fill="auto"/>
        <w:adjustRightInd w:val="0"/>
        <w:snapToGrid w:val="0"/>
        <w:spacing w:line="500" w:lineRule="exact"/>
        <w:outlineLvl w:val="9"/>
        <w:rPr>
          <w:rFonts w:hint="eastAsia" w:ascii="仿宋" w:hAnsi="仿宋" w:eastAsia="仿宋" w:cs="仿宋"/>
          <w:i/>
          <w:iCs/>
          <w:color w:val="auto"/>
          <w:szCs w:val="21"/>
          <w:highlight w:val="none"/>
        </w:rPr>
      </w:pPr>
      <w:r>
        <w:rPr>
          <w:rFonts w:hint="eastAsia" w:ascii="仿宋" w:hAnsi="仿宋" w:eastAsia="仿宋" w:cs="仿宋"/>
          <w:color w:val="auto"/>
          <w:szCs w:val="21"/>
          <w:highlight w:val="none"/>
        </w:rPr>
        <w:t>招标项目编号：</w:t>
      </w:r>
      <w:r>
        <w:rPr>
          <w:rFonts w:hint="eastAsia" w:ascii="仿宋" w:hAnsi="仿宋" w:eastAsia="仿宋" w:cs="仿宋"/>
          <w:i/>
          <w:iCs/>
          <w:color w:val="auto"/>
          <w:szCs w:val="21"/>
          <w:highlight w:val="none"/>
        </w:rPr>
        <w:t xml:space="preserve"> </w:t>
      </w:r>
      <w:r>
        <w:rPr>
          <w:rFonts w:hint="eastAsia" w:ascii="仿宋" w:hAnsi="仿宋" w:eastAsia="仿宋" w:cs="仿宋"/>
          <w:color w:val="auto"/>
          <w:szCs w:val="21"/>
          <w:highlight w:val="none"/>
          <w:u w:val="single"/>
        </w:rPr>
        <w:t xml:space="preserve">                         </w:t>
      </w:r>
    </w:p>
    <w:p>
      <w:pPr>
        <w:shd w:val="clear" w:color="auto" w:fill="auto"/>
        <w:spacing w:line="50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单位：元（人民币）</w:t>
      </w:r>
    </w:p>
    <w:tbl>
      <w:tblPr>
        <w:tblStyle w:val="24"/>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974"/>
        <w:gridCol w:w="6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gridSpan w:val="2"/>
            <w:noWrap w:val="0"/>
            <w:vAlign w:val="center"/>
          </w:tcPr>
          <w:p>
            <w:pPr>
              <w:shd w:val="clear" w:color="auto" w:fill="auto"/>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投标项目名称</w:t>
            </w:r>
          </w:p>
        </w:tc>
        <w:tc>
          <w:tcPr>
            <w:tcW w:w="6185" w:type="dxa"/>
            <w:noWrap w:val="0"/>
            <w:vAlign w:val="center"/>
          </w:tcPr>
          <w:p>
            <w:pPr>
              <w:shd w:val="clear" w:color="auto" w:fill="auto"/>
              <w:outlineLvl w:val="9"/>
              <w:rPr>
                <w:rFonts w:hint="eastAsia"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gridSpan w:val="2"/>
            <w:noWrap w:val="0"/>
            <w:vAlign w:val="center"/>
          </w:tcPr>
          <w:p>
            <w:pPr>
              <w:shd w:val="clear" w:color="auto" w:fill="auto"/>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供货期</w:t>
            </w:r>
            <w:r>
              <w:rPr>
                <w:rFonts w:hint="eastAsia" w:ascii="仿宋" w:hAnsi="仿宋" w:eastAsia="仿宋" w:cs="仿宋"/>
                <w:color w:val="auto"/>
                <w:szCs w:val="21"/>
                <w:highlight w:val="none"/>
                <w:lang w:eastAsia="zh-CN"/>
              </w:rPr>
              <w:t>（天）</w:t>
            </w:r>
          </w:p>
        </w:tc>
        <w:tc>
          <w:tcPr>
            <w:tcW w:w="6185" w:type="dxa"/>
            <w:noWrap w:val="0"/>
            <w:vAlign w:val="center"/>
          </w:tcPr>
          <w:p>
            <w:pPr>
              <w:shd w:val="clear" w:color="auto" w:fill="auto"/>
              <w:jc w:val="center"/>
              <w:outlineLvl w:val="9"/>
              <w:rPr>
                <w:rFonts w:hint="eastAsia"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gridSpan w:val="2"/>
            <w:tcBorders>
              <w:top w:val="single" w:color="auto" w:sz="4" w:space="0"/>
            </w:tcBorders>
            <w:noWrap w:val="0"/>
            <w:vAlign w:val="center"/>
          </w:tcPr>
          <w:p>
            <w:pPr>
              <w:shd w:val="clear" w:color="auto" w:fill="auto"/>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投标有效期</w:t>
            </w:r>
          </w:p>
        </w:tc>
        <w:tc>
          <w:tcPr>
            <w:tcW w:w="6185" w:type="dxa"/>
            <w:noWrap w:val="0"/>
            <w:vAlign w:val="center"/>
          </w:tcPr>
          <w:p>
            <w:pPr>
              <w:shd w:val="clear" w:color="auto" w:fill="auto"/>
              <w:jc w:val="center"/>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restart"/>
            <w:noWrap w:val="0"/>
            <w:vAlign w:val="center"/>
          </w:tcPr>
          <w:p>
            <w:pPr>
              <w:shd w:val="clear" w:color="auto" w:fill="auto"/>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投标报价</w:t>
            </w:r>
          </w:p>
          <w:p>
            <w:pPr>
              <w:shd w:val="clear" w:color="auto" w:fill="auto"/>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（人民币）</w:t>
            </w:r>
          </w:p>
        </w:tc>
        <w:tc>
          <w:tcPr>
            <w:tcW w:w="974" w:type="dxa"/>
            <w:tcBorders>
              <w:top w:val="single" w:color="auto" w:sz="4" w:space="0"/>
              <w:bottom w:val="single" w:color="auto" w:sz="4" w:space="0"/>
            </w:tcBorders>
            <w:noWrap w:val="0"/>
            <w:vAlign w:val="center"/>
          </w:tcPr>
          <w:p>
            <w:pPr>
              <w:widowControl/>
              <w:shd w:val="clear" w:color="auto" w:fill="auto"/>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小写</w:t>
            </w:r>
          </w:p>
        </w:tc>
        <w:tc>
          <w:tcPr>
            <w:tcW w:w="6185" w:type="dxa"/>
            <w:noWrap w:val="0"/>
            <w:vAlign w:val="center"/>
          </w:tcPr>
          <w:p>
            <w:pPr>
              <w:shd w:val="clear" w:color="auto" w:fill="auto"/>
              <w:jc w:val="center"/>
              <w:outlineLvl w:val="9"/>
              <w:rPr>
                <w:rFonts w:hint="eastAsia"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continue"/>
            <w:noWrap w:val="0"/>
            <w:vAlign w:val="center"/>
          </w:tcPr>
          <w:p>
            <w:pPr>
              <w:shd w:val="clear" w:color="auto" w:fill="auto"/>
              <w:jc w:val="center"/>
              <w:outlineLvl w:val="9"/>
              <w:rPr>
                <w:rFonts w:hint="eastAsia" w:ascii="仿宋" w:hAnsi="仿宋" w:eastAsia="仿宋" w:cs="仿宋"/>
                <w:color w:val="auto"/>
                <w:szCs w:val="21"/>
                <w:highlight w:val="none"/>
              </w:rPr>
            </w:pPr>
          </w:p>
        </w:tc>
        <w:tc>
          <w:tcPr>
            <w:tcW w:w="974" w:type="dxa"/>
            <w:tcBorders>
              <w:top w:val="single" w:color="auto" w:sz="4" w:space="0"/>
              <w:bottom w:val="single" w:color="auto" w:sz="4" w:space="0"/>
            </w:tcBorders>
            <w:noWrap w:val="0"/>
            <w:vAlign w:val="center"/>
          </w:tcPr>
          <w:p>
            <w:pPr>
              <w:widowControl/>
              <w:shd w:val="clear" w:color="auto" w:fill="auto"/>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大写</w:t>
            </w:r>
          </w:p>
        </w:tc>
        <w:tc>
          <w:tcPr>
            <w:tcW w:w="6185" w:type="dxa"/>
            <w:noWrap w:val="0"/>
            <w:vAlign w:val="center"/>
          </w:tcPr>
          <w:p>
            <w:pPr>
              <w:shd w:val="clear" w:color="auto" w:fill="auto"/>
              <w:jc w:val="center"/>
              <w:outlineLvl w:val="9"/>
              <w:rPr>
                <w:rFonts w:hint="eastAsia" w:ascii="仿宋" w:hAnsi="仿宋" w:eastAsia="仿宋" w:cs="仿宋"/>
                <w:color w:val="auto"/>
                <w:szCs w:val="21"/>
                <w:highlight w:val="none"/>
              </w:rPr>
            </w:pPr>
          </w:p>
        </w:tc>
      </w:tr>
    </w:tbl>
    <w:p>
      <w:pPr>
        <w:shd w:val="clear" w:color="auto" w:fill="auto"/>
        <w:spacing w:line="500" w:lineRule="exact"/>
        <w:ind w:firstLine="479" w:firstLineChars="196"/>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填写说明：</w:t>
      </w:r>
    </w:p>
    <w:p>
      <w:pPr>
        <w:shd w:val="clear" w:color="auto" w:fill="auto"/>
        <w:spacing w:line="500" w:lineRule="exact"/>
        <w:ind w:firstLine="479" w:firstLineChars="196"/>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1.为方便开标唱标，投标人应将开标一览表单独密封，并在信封上标明“开标一览表”字样，然后在递交投标文件时单独递交</w:t>
      </w:r>
      <w:r>
        <w:rPr>
          <w:rFonts w:hint="eastAsia" w:ascii="仿宋" w:hAnsi="仿宋" w:eastAsia="仿宋" w:cs="仿宋"/>
          <w:b/>
          <w:bCs/>
          <w:color w:val="auto"/>
          <w:sz w:val="24"/>
          <w:highlight w:val="none"/>
        </w:rPr>
        <w:t>。</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3.投标总价为招标范围所列全部招标项目的报价总和，并应与投标报价明细表及分项价格表保持一致。</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4.必须在投标文件中装订。</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5.投标报价不得填报选择性报价。</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投标人名称：</w:t>
      </w:r>
      <w:r>
        <w:rPr>
          <w:rFonts w:hint="eastAsia" w:ascii="仿宋" w:hAnsi="仿宋" w:eastAsia="仿宋" w:cs="仿宋"/>
          <w:color w:val="auto"/>
          <w:szCs w:val="21"/>
          <w:highlight w:val="none"/>
          <w:u w:val="single"/>
        </w:rPr>
        <w:t xml:space="preserve">    （加盖公章）     </w:t>
      </w:r>
      <w:r>
        <w:rPr>
          <w:rFonts w:hint="eastAsia" w:ascii="仿宋" w:hAnsi="仿宋" w:eastAsia="仿宋" w:cs="仿宋"/>
          <w:color w:val="auto"/>
          <w:szCs w:val="21"/>
          <w:highlight w:val="none"/>
        </w:rPr>
        <w:t xml:space="preserve">       </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法定代表人签字或盖章：</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授权代表签字或盖章：</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签署日期：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月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pPr>
        <w:numPr>
          <w:ilvl w:val="0"/>
          <w:numId w:val="0"/>
        </w:numPr>
        <w:shd w:val="clear" w:color="auto" w:fill="auto"/>
        <w:tabs>
          <w:tab w:val="left" w:pos="540"/>
        </w:tabs>
        <w:spacing w:before="0" w:line="240" w:lineRule="atLeast"/>
        <w:outlineLvl w:val="9"/>
        <w:rPr>
          <w:rFonts w:hint="eastAsia" w:ascii="宋体" w:hAnsi="宋体" w:eastAsia="宋体" w:cs="宋体"/>
          <w:b/>
          <w:bCs/>
          <w:color w:val="auto"/>
          <w:sz w:val="24"/>
          <w:highlight w:val="none"/>
        </w:rPr>
      </w:pPr>
    </w:p>
    <w:p>
      <w:pPr>
        <w:numPr>
          <w:ilvl w:val="0"/>
          <w:numId w:val="0"/>
        </w:numPr>
        <w:shd w:val="clear" w:color="auto" w:fill="auto"/>
        <w:tabs>
          <w:tab w:val="left" w:pos="540"/>
        </w:tabs>
        <w:spacing w:before="0" w:line="240" w:lineRule="atLeast"/>
        <w:outlineLvl w:val="9"/>
        <w:rPr>
          <w:rFonts w:hint="eastAsia" w:ascii="宋体" w:hAnsi="宋体" w:eastAsia="宋体" w:cs="宋体"/>
          <w:b/>
          <w:bCs/>
          <w:color w:val="auto"/>
          <w:sz w:val="24"/>
          <w:highlight w:val="none"/>
        </w:rPr>
      </w:pPr>
    </w:p>
    <w:p>
      <w:pPr>
        <w:pStyle w:val="34"/>
        <w:keepNext/>
        <w:keepLines/>
        <w:widowControl w:val="0"/>
        <w:numPr>
          <w:ilvl w:val="0"/>
          <w:numId w:val="0"/>
        </w:numPr>
        <w:shd w:val="clear" w:color="auto" w:fill="auto"/>
        <w:bidi w:val="0"/>
        <w:spacing w:before="0" w:after="220" w:line="240" w:lineRule="auto"/>
        <w:ind w:right="0" w:rightChars="0"/>
        <w:jc w:val="center"/>
        <w:outlineLvl w:val="9"/>
        <w:rPr>
          <w:rFonts w:hint="eastAsia" w:ascii="仿宋" w:hAnsi="仿宋" w:eastAsia="仿宋" w:cs="仿宋"/>
          <w:b/>
          <w:bCs/>
          <w:color w:val="auto"/>
          <w:spacing w:val="0"/>
          <w:w w:val="100"/>
          <w:position w:val="0"/>
          <w:highlight w:val="none"/>
          <w:lang w:val="en-US" w:eastAsia="zh-CN"/>
        </w:rPr>
      </w:pPr>
      <w:bookmarkStart w:id="103" w:name="_Toc10322"/>
      <w:bookmarkStart w:id="104" w:name="_Toc3162"/>
      <w:bookmarkStart w:id="105" w:name="_Toc9054"/>
      <w:bookmarkStart w:id="106" w:name="_Toc19182"/>
      <w:bookmarkStart w:id="107" w:name="_Toc9019"/>
      <w:bookmarkStart w:id="108" w:name="_Toc21651"/>
      <w:r>
        <w:rPr>
          <w:rFonts w:hint="eastAsia" w:ascii="仿宋" w:hAnsi="仿宋" w:eastAsia="仿宋" w:cs="仿宋"/>
          <w:b/>
          <w:bCs/>
          <w:color w:val="auto"/>
          <w:spacing w:val="0"/>
          <w:w w:val="100"/>
          <w:position w:val="0"/>
          <w:highlight w:val="none"/>
          <w:lang w:val="en-US" w:eastAsia="zh-CN"/>
        </w:rPr>
        <w:t>3、货物说明一览表</w:t>
      </w:r>
      <w:bookmarkEnd w:id="103"/>
      <w:bookmarkEnd w:id="104"/>
      <w:bookmarkEnd w:id="105"/>
      <w:bookmarkEnd w:id="106"/>
      <w:bookmarkEnd w:id="107"/>
      <w:bookmarkEnd w:id="108"/>
    </w:p>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rPr>
      </w:pPr>
    </w:p>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招标编号:                       包号:                      </w:t>
      </w:r>
    </w:p>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rPr>
      </w:pPr>
    </w:p>
    <w:tbl>
      <w:tblPr>
        <w:tblStyle w:val="24"/>
        <w:tblW w:w="10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601"/>
        <w:gridCol w:w="1225"/>
        <w:gridCol w:w="1225"/>
        <w:gridCol w:w="1138"/>
        <w:gridCol w:w="1275"/>
        <w:gridCol w:w="1250"/>
        <w:gridCol w:w="1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96" w:type="dxa"/>
            <w:noWrap w:val="0"/>
            <w:vAlign w:val="top"/>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序号</w:t>
            </w:r>
          </w:p>
        </w:tc>
        <w:tc>
          <w:tcPr>
            <w:tcW w:w="1601"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货物名称</w:t>
            </w:r>
          </w:p>
        </w:tc>
        <w:tc>
          <w:tcPr>
            <w:tcW w:w="1225"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szCs w:val="21"/>
                <w:highlight w:val="none"/>
                <w:lang w:eastAsia="zh-CN"/>
              </w:rPr>
              <w:t>品牌型号</w:t>
            </w:r>
          </w:p>
        </w:tc>
        <w:tc>
          <w:tcPr>
            <w:tcW w:w="1225"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主要规格</w:t>
            </w:r>
          </w:p>
        </w:tc>
        <w:tc>
          <w:tcPr>
            <w:tcW w:w="1138"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数量</w:t>
            </w:r>
          </w:p>
        </w:tc>
        <w:tc>
          <w:tcPr>
            <w:tcW w:w="1275"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供货期</w:t>
            </w:r>
          </w:p>
        </w:tc>
        <w:tc>
          <w:tcPr>
            <w:tcW w:w="1250"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交货地点</w:t>
            </w:r>
          </w:p>
        </w:tc>
        <w:tc>
          <w:tcPr>
            <w:tcW w:w="1690"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bl>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rPr>
      </w:pPr>
    </w:p>
    <w:p>
      <w:pPr>
        <w:pStyle w:val="13"/>
        <w:shd w:val="clear" w:color="auto" w:fill="auto"/>
        <w:spacing w:line="240" w:lineRule="atLeast"/>
        <w:ind w:left="1169" w:leftChars="257" w:hanging="540"/>
        <w:outlineLvl w:val="9"/>
        <w:rPr>
          <w:rFonts w:hint="eastAsia" w:ascii="宋体" w:hAnsi="宋体" w:eastAsia="宋体" w:cs="宋体"/>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r>
        <w:rPr>
          <w:rFonts w:hint="eastAsia" w:ascii="宋体" w:hAnsi="宋体" w:eastAsia="宋体" w:cs="宋体"/>
          <w:color w:val="auto"/>
          <w:sz w:val="24"/>
          <w:highlight w:val="none"/>
          <w:u w:val="single"/>
        </w:rPr>
        <w:t xml:space="preserve">         </w:t>
      </w:r>
    </w:p>
    <w:p>
      <w:pPr>
        <w:pStyle w:val="13"/>
        <w:shd w:val="clear" w:color="auto" w:fill="auto"/>
        <w:tabs>
          <w:tab w:val="left" w:pos="5370"/>
        </w:tabs>
        <w:spacing w:line="240" w:lineRule="atLeast"/>
        <w:ind w:left="1169" w:leftChars="257" w:hanging="540"/>
        <w:outlineLvl w:val="9"/>
        <w:rPr>
          <w:rFonts w:hint="eastAsia" w:ascii="宋体" w:hAnsi="宋体" w:eastAsia="宋体" w:cs="宋体"/>
          <w:color w:val="auto"/>
          <w:sz w:val="24"/>
          <w:highlight w:val="none"/>
        </w:rPr>
      </w:pPr>
    </w:p>
    <w:p>
      <w:pPr>
        <w:pStyle w:val="13"/>
        <w:shd w:val="clear" w:color="auto" w:fill="auto"/>
        <w:tabs>
          <w:tab w:val="left" w:pos="5370"/>
        </w:tabs>
        <w:spacing w:line="240" w:lineRule="atLeast"/>
        <w:ind w:left="1169" w:leftChars="257" w:hanging="54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rPr>
      </w:pPr>
    </w:p>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 各项货物详细技术性能应另页描述。</w:t>
      </w:r>
    </w:p>
    <w:p>
      <w:pPr>
        <w:pStyle w:val="13"/>
        <w:shd w:val="clear" w:color="auto" w:fill="auto"/>
        <w:spacing w:line="240" w:lineRule="atLeast"/>
        <w:ind w:left="1169" w:leftChars="257" w:hanging="540"/>
        <w:jc w:val="center"/>
        <w:outlineLvl w:val="9"/>
        <w:rPr>
          <w:rFonts w:hint="eastAsia" w:ascii="仿宋" w:hAnsi="仿宋" w:eastAsia="仿宋" w:cs="仿宋"/>
          <w:color w:val="auto"/>
          <w:sz w:val="24"/>
          <w:highlight w:val="none"/>
        </w:rPr>
      </w:pPr>
    </w:p>
    <w:p>
      <w:pPr>
        <w:pStyle w:val="13"/>
        <w:shd w:val="clear" w:color="auto" w:fill="auto"/>
        <w:spacing w:line="240" w:lineRule="atLeast"/>
        <w:ind w:left="1169" w:leftChars="257" w:hanging="540"/>
        <w:jc w:val="center"/>
        <w:outlineLvl w:val="9"/>
        <w:rPr>
          <w:rFonts w:hint="eastAsia" w:ascii="仿宋" w:hAnsi="仿宋" w:eastAsia="仿宋" w:cs="仿宋"/>
          <w:color w:val="auto"/>
          <w:sz w:val="24"/>
          <w:highlight w:val="none"/>
        </w:rPr>
        <w:sectPr>
          <w:footerReference r:id="rId11" w:type="default"/>
          <w:pgSz w:w="11905" w:h="16838"/>
          <w:pgMar w:top="1440" w:right="1417" w:bottom="1440" w:left="1417" w:header="850" w:footer="992" w:gutter="0"/>
          <w:pgNumType w:fmt="decimal"/>
          <w:cols w:space="0" w:num="1"/>
          <w:rtlGutter w:val="0"/>
          <w:docGrid w:type="linesAndChars" w:linePitch="335" w:charSpace="1057"/>
        </w:sectPr>
      </w:pPr>
    </w:p>
    <w:p>
      <w:pPr>
        <w:pStyle w:val="34"/>
        <w:keepNext/>
        <w:keepLines/>
        <w:widowControl w:val="0"/>
        <w:numPr>
          <w:ilvl w:val="0"/>
          <w:numId w:val="0"/>
        </w:numPr>
        <w:shd w:val="clear" w:color="auto" w:fill="auto"/>
        <w:bidi w:val="0"/>
        <w:spacing w:before="0" w:after="220" w:line="240" w:lineRule="auto"/>
        <w:ind w:right="0" w:rightChars="0"/>
        <w:jc w:val="center"/>
        <w:outlineLvl w:val="9"/>
        <w:rPr>
          <w:rFonts w:hint="eastAsia" w:ascii="仿宋" w:hAnsi="仿宋" w:eastAsia="仿宋" w:cs="仿宋"/>
          <w:b/>
          <w:bCs/>
          <w:i w:val="0"/>
          <w:iCs w:val="0"/>
          <w:color w:val="auto"/>
          <w:spacing w:val="0"/>
          <w:w w:val="100"/>
          <w:position w:val="0"/>
          <w:highlight w:val="none"/>
        </w:rPr>
      </w:pPr>
      <w:bookmarkStart w:id="109" w:name="_Toc1219"/>
      <w:bookmarkStart w:id="110" w:name="_Toc4302"/>
      <w:bookmarkStart w:id="111" w:name="_Toc17635"/>
      <w:bookmarkStart w:id="112" w:name="_Toc23637"/>
      <w:bookmarkStart w:id="113" w:name="_Toc24160"/>
      <w:bookmarkStart w:id="114" w:name="_Toc4468"/>
      <w:r>
        <w:rPr>
          <w:rFonts w:hint="eastAsia" w:ascii="仿宋" w:hAnsi="仿宋" w:eastAsia="仿宋" w:cs="仿宋"/>
          <w:b/>
          <w:bCs/>
          <w:i w:val="0"/>
          <w:iCs w:val="0"/>
          <w:color w:val="auto"/>
          <w:spacing w:val="0"/>
          <w:w w:val="100"/>
          <w:position w:val="0"/>
          <w:highlight w:val="none"/>
          <w:lang w:val="en-US" w:eastAsia="zh-CN"/>
        </w:rPr>
        <w:t>4</w:t>
      </w:r>
      <w:r>
        <w:rPr>
          <w:rFonts w:hint="eastAsia" w:ascii="仿宋" w:hAnsi="仿宋" w:eastAsia="仿宋" w:cs="仿宋"/>
          <w:b/>
          <w:bCs/>
          <w:i w:val="0"/>
          <w:iCs w:val="0"/>
          <w:color w:val="auto"/>
          <w:spacing w:val="0"/>
          <w:w w:val="100"/>
          <w:position w:val="0"/>
          <w:highlight w:val="none"/>
          <w:lang w:eastAsia="zh-CN"/>
        </w:rPr>
        <w:t>、</w:t>
      </w:r>
      <w:r>
        <w:rPr>
          <w:rFonts w:hint="eastAsia" w:ascii="仿宋" w:hAnsi="仿宋" w:eastAsia="仿宋" w:cs="仿宋"/>
          <w:b/>
          <w:bCs/>
          <w:i w:val="0"/>
          <w:iCs w:val="0"/>
          <w:color w:val="auto"/>
          <w:spacing w:val="0"/>
          <w:w w:val="100"/>
          <w:position w:val="0"/>
          <w:highlight w:val="none"/>
        </w:rPr>
        <w:t>投标报价明细表</w:t>
      </w:r>
      <w:bookmarkEnd w:id="109"/>
      <w:bookmarkEnd w:id="110"/>
      <w:bookmarkEnd w:id="111"/>
      <w:bookmarkEnd w:id="112"/>
      <w:bookmarkEnd w:id="113"/>
      <w:bookmarkEnd w:id="114"/>
    </w:p>
    <w:p>
      <w:pPr>
        <w:pStyle w:val="34"/>
        <w:keepNext/>
        <w:keepLines/>
        <w:widowControl w:val="0"/>
        <w:numPr>
          <w:ilvl w:val="0"/>
          <w:numId w:val="0"/>
        </w:numPr>
        <w:shd w:val="clear" w:color="auto" w:fill="auto"/>
        <w:bidi w:val="0"/>
        <w:spacing w:before="0" w:after="220" w:line="240" w:lineRule="auto"/>
        <w:ind w:right="0" w:rightChars="0"/>
        <w:jc w:val="both"/>
        <w:outlineLvl w:val="9"/>
        <w:rPr>
          <w:rFonts w:hint="eastAsia" w:ascii="仿宋" w:hAnsi="仿宋" w:eastAsia="仿宋" w:cs="仿宋"/>
          <w:color w:val="auto"/>
          <w:sz w:val="24"/>
          <w:highlight w:val="none"/>
        </w:rPr>
      </w:pPr>
      <w:bookmarkStart w:id="115" w:name="_Toc1002"/>
      <w:bookmarkStart w:id="116" w:name="_Toc15970"/>
      <w:bookmarkStart w:id="117" w:name="_Toc17844"/>
      <w:bookmarkStart w:id="118" w:name="_Toc21879"/>
      <w:bookmarkStart w:id="119" w:name="_Toc10498"/>
      <w:bookmarkStart w:id="120" w:name="_Toc9703"/>
      <w:r>
        <w:rPr>
          <w:rFonts w:hint="eastAsia" w:ascii="仿宋" w:hAnsi="仿宋" w:eastAsia="仿宋" w:cs="仿宋"/>
          <w:color w:val="auto"/>
          <w:sz w:val="24"/>
          <w:highlight w:val="none"/>
        </w:rPr>
        <w:t>项目名称:</w:t>
      </w:r>
      <w:bookmarkEnd w:id="115"/>
      <w:bookmarkEnd w:id="116"/>
      <w:bookmarkEnd w:id="117"/>
      <w:bookmarkEnd w:id="118"/>
      <w:bookmarkEnd w:id="119"/>
      <w:bookmarkEnd w:id="120"/>
      <w:r>
        <w:rPr>
          <w:rFonts w:hint="eastAsia" w:ascii="仿宋" w:hAnsi="仿宋" w:eastAsia="仿宋" w:cs="仿宋"/>
          <w:color w:val="auto"/>
          <w:sz w:val="24"/>
          <w:highlight w:val="none"/>
        </w:rPr>
        <w:t xml:space="preserve">                      </w:t>
      </w:r>
    </w:p>
    <w:p>
      <w:pPr>
        <w:pStyle w:val="34"/>
        <w:keepNext/>
        <w:keepLines/>
        <w:widowControl w:val="0"/>
        <w:numPr>
          <w:ilvl w:val="0"/>
          <w:numId w:val="0"/>
        </w:numPr>
        <w:shd w:val="clear" w:color="auto" w:fill="auto"/>
        <w:bidi w:val="0"/>
        <w:spacing w:before="0" w:after="220" w:line="240" w:lineRule="auto"/>
        <w:ind w:right="0" w:rightChars="0"/>
        <w:jc w:val="both"/>
        <w:outlineLvl w:val="9"/>
        <w:rPr>
          <w:rFonts w:hint="eastAsia" w:ascii="仿宋" w:hAnsi="仿宋" w:eastAsia="仿宋" w:cs="仿宋"/>
          <w:color w:val="auto"/>
          <w:sz w:val="24"/>
          <w:highlight w:val="none"/>
        </w:rPr>
      </w:pPr>
      <w:bookmarkStart w:id="121" w:name="_Toc28736"/>
      <w:bookmarkStart w:id="122" w:name="_Toc31050"/>
      <w:bookmarkStart w:id="123" w:name="_Toc27922"/>
      <w:bookmarkStart w:id="124" w:name="_Toc28765"/>
      <w:bookmarkStart w:id="125" w:name="_Toc12706"/>
      <w:bookmarkStart w:id="126" w:name="_Toc30794"/>
      <w:r>
        <w:rPr>
          <w:rFonts w:hint="eastAsia" w:ascii="仿宋" w:hAnsi="仿宋" w:eastAsia="仿宋" w:cs="仿宋"/>
          <w:color w:val="auto"/>
          <w:sz w:val="24"/>
          <w:highlight w:val="none"/>
        </w:rPr>
        <w:t xml:space="preserve">招标编号: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包号:</w:t>
      </w:r>
      <w:bookmarkEnd w:id="121"/>
      <w:bookmarkEnd w:id="122"/>
      <w:bookmarkEnd w:id="123"/>
      <w:bookmarkEnd w:id="124"/>
      <w:bookmarkEnd w:id="125"/>
      <w:bookmarkEnd w:id="126"/>
      <w:r>
        <w:rPr>
          <w:rFonts w:hint="eastAsia" w:ascii="仿宋" w:hAnsi="仿宋" w:eastAsia="仿宋" w:cs="仿宋"/>
          <w:color w:val="auto"/>
          <w:sz w:val="24"/>
          <w:highlight w:val="none"/>
        </w:rPr>
        <w:t xml:space="preserve"> 　 </w:t>
      </w:r>
    </w:p>
    <w:p>
      <w:pPr>
        <w:pStyle w:val="13"/>
        <w:shd w:val="clear" w:color="auto" w:fill="auto"/>
        <w:spacing w:line="240" w:lineRule="atLeast"/>
        <w:ind w:left="1169" w:leftChars="257" w:hanging="540"/>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单位：</w:t>
      </w:r>
      <w:r>
        <w:rPr>
          <w:rFonts w:hint="eastAsia" w:ascii="仿宋" w:hAnsi="仿宋" w:eastAsia="仿宋" w:cs="仿宋"/>
          <w:color w:val="auto"/>
          <w:szCs w:val="21"/>
          <w:highlight w:val="none"/>
        </w:rPr>
        <w:t>元（人民币）</w:t>
      </w:r>
    </w:p>
    <w:tbl>
      <w:tblPr>
        <w:tblStyle w:val="24"/>
        <w:tblW w:w="877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1"/>
        <w:gridCol w:w="1457"/>
        <w:gridCol w:w="1360"/>
        <w:gridCol w:w="1870"/>
        <w:gridCol w:w="825"/>
        <w:gridCol w:w="782"/>
        <w:gridCol w:w="739"/>
        <w:gridCol w:w="92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38" w:hRule="atLeast"/>
          <w:jc w:val="center"/>
        </w:trPr>
        <w:tc>
          <w:tcPr>
            <w:tcW w:w="821" w:type="dxa"/>
            <w:tcBorders>
              <w:top w:val="single" w:color="auto" w:sz="12"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1457"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品目名称</w:t>
            </w:r>
          </w:p>
        </w:tc>
        <w:tc>
          <w:tcPr>
            <w:tcW w:w="1360"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品牌型号</w:t>
            </w:r>
          </w:p>
        </w:tc>
        <w:tc>
          <w:tcPr>
            <w:tcW w:w="1870" w:type="dxa"/>
            <w:tcBorders>
              <w:top w:val="single" w:color="auto" w:sz="12" w:space="0"/>
              <w:left w:val="single" w:color="auto" w:sz="6" w:space="0"/>
              <w:bottom w:val="single" w:color="auto" w:sz="6" w:space="0"/>
              <w:right w:val="single" w:color="auto" w:sz="4" w:space="0"/>
            </w:tcBorders>
            <w:noWrap w:val="0"/>
            <w:vAlign w:val="center"/>
          </w:tcPr>
          <w:p>
            <w:pPr>
              <w:spacing w:line="50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主要技术参数</w:t>
            </w:r>
          </w:p>
        </w:tc>
        <w:tc>
          <w:tcPr>
            <w:tcW w:w="825"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数量</w:t>
            </w:r>
          </w:p>
        </w:tc>
        <w:tc>
          <w:tcPr>
            <w:tcW w:w="782"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单位</w:t>
            </w:r>
          </w:p>
        </w:tc>
        <w:tc>
          <w:tcPr>
            <w:tcW w:w="739"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单价</w:t>
            </w:r>
          </w:p>
        </w:tc>
        <w:tc>
          <w:tcPr>
            <w:tcW w:w="922" w:type="dxa"/>
            <w:tcBorders>
              <w:top w:val="single" w:color="auto" w:sz="12"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总价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6"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bl>
    <w:p>
      <w:pPr>
        <w:pStyle w:val="38"/>
        <w:keepNext w:val="0"/>
        <w:keepLines w:val="0"/>
        <w:pageBreakBefore w:val="0"/>
        <w:widowControl w:val="0"/>
        <w:shd w:val="clear" w:color="auto" w:fill="auto"/>
        <w:kinsoku/>
        <w:wordWrap/>
        <w:overflowPunct/>
        <w:topLinePunct w:val="0"/>
        <w:autoSpaceDE/>
        <w:autoSpaceDN/>
        <w:bidi w:val="0"/>
        <w:adjustRightInd/>
        <w:snapToGrid/>
        <w:spacing w:before="0" w:after="0" w:line="357" w:lineRule="exact"/>
        <w:ind w:left="176" w:right="0" w:firstLine="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说明：</w:t>
      </w:r>
      <w:r>
        <w:rPr>
          <w:rFonts w:hint="eastAsia" w:ascii="仿宋" w:hAnsi="仿宋" w:eastAsia="仿宋" w:cs="仿宋"/>
          <w:color w:val="auto"/>
          <w:spacing w:val="0"/>
          <w:w w:val="100"/>
          <w:position w:val="0"/>
          <w:sz w:val="24"/>
          <w:szCs w:val="24"/>
          <w:highlight w:val="none"/>
          <w:lang w:val="en-US" w:eastAsia="en-US" w:bidi="en-US"/>
        </w:rPr>
        <w:t>1.</w:t>
      </w:r>
      <w:r>
        <w:rPr>
          <w:rFonts w:hint="eastAsia" w:ascii="仿宋" w:hAnsi="仿宋" w:eastAsia="仿宋" w:cs="仿宋"/>
          <w:color w:val="auto"/>
          <w:spacing w:val="0"/>
          <w:w w:val="100"/>
          <w:position w:val="0"/>
          <w:sz w:val="24"/>
          <w:szCs w:val="24"/>
          <w:highlight w:val="none"/>
        </w:rPr>
        <w:t>所有价格均用人民币表示，单位为元。</w:t>
      </w:r>
    </w:p>
    <w:p>
      <w:pPr>
        <w:pStyle w:val="38"/>
        <w:keepNext w:val="0"/>
        <w:keepLines w:val="0"/>
        <w:pageBreakBefore w:val="0"/>
        <w:widowControl w:val="0"/>
        <w:numPr>
          <w:ilvl w:val="0"/>
          <w:numId w:val="0"/>
        </w:numPr>
        <w:shd w:val="clear" w:color="auto" w:fill="auto"/>
        <w:tabs>
          <w:tab w:val="left" w:pos="378"/>
        </w:tabs>
        <w:kinsoku/>
        <w:wordWrap/>
        <w:overflowPunct/>
        <w:topLinePunct w:val="0"/>
        <w:autoSpaceDE/>
        <w:autoSpaceDN/>
        <w:bidi w:val="0"/>
        <w:adjustRightInd/>
        <w:snapToGrid/>
        <w:spacing w:before="0" w:after="0" w:line="357" w:lineRule="exact"/>
        <w:ind w:left="176" w:leftChars="0" w:right="0" w:rightChars="0" w:firstLine="735" w:firstLineChars="3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lang w:val="en-US" w:eastAsia="zh-CN"/>
        </w:rPr>
        <w:t>2.</w:t>
      </w:r>
      <w:r>
        <w:rPr>
          <w:rFonts w:hint="eastAsia" w:ascii="仿宋" w:hAnsi="仿宋" w:eastAsia="仿宋" w:cs="仿宋"/>
          <w:color w:val="auto"/>
          <w:spacing w:val="0"/>
          <w:w w:val="100"/>
          <w:position w:val="0"/>
          <w:sz w:val="24"/>
          <w:szCs w:val="24"/>
          <w:highlight w:val="none"/>
        </w:rPr>
        <w:t>报价总计价格必须与《</w:t>
      </w:r>
      <w:r>
        <w:rPr>
          <w:rFonts w:hint="eastAsia" w:ascii="仿宋" w:hAnsi="仿宋" w:eastAsia="仿宋" w:cs="仿宋"/>
          <w:color w:val="auto"/>
          <w:spacing w:val="0"/>
          <w:w w:val="100"/>
          <w:position w:val="0"/>
          <w:sz w:val="24"/>
          <w:szCs w:val="24"/>
          <w:highlight w:val="none"/>
          <w:lang w:eastAsia="zh-CN"/>
        </w:rPr>
        <w:t>投标报价单</w:t>
      </w:r>
      <w:r>
        <w:rPr>
          <w:rFonts w:hint="eastAsia" w:ascii="仿宋" w:hAnsi="仿宋" w:eastAsia="仿宋" w:cs="仿宋"/>
          <w:color w:val="auto"/>
          <w:spacing w:val="0"/>
          <w:w w:val="100"/>
          <w:position w:val="0"/>
          <w:sz w:val="24"/>
          <w:szCs w:val="24"/>
          <w:highlight w:val="none"/>
        </w:rPr>
        <w:t>》报价一致。</w:t>
      </w:r>
    </w:p>
    <w:p>
      <w:pPr>
        <w:pStyle w:val="38"/>
        <w:keepNext w:val="0"/>
        <w:keepLines w:val="0"/>
        <w:pageBreakBefore w:val="0"/>
        <w:widowControl w:val="0"/>
        <w:numPr>
          <w:ilvl w:val="0"/>
          <w:numId w:val="0"/>
        </w:numPr>
        <w:shd w:val="clear" w:color="auto" w:fill="auto"/>
        <w:tabs>
          <w:tab w:val="left" w:pos="409"/>
          <w:tab w:val="left" w:pos="490"/>
        </w:tabs>
        <w:kinsoku/>
        <w:wordWrap/>
        <w:overflowPunct/>
        <w:topLinePunct w:val="0"/>
        <w:autoSpaceDE/>
        <w:autoSpaceDN/>
        <w:bidi w:val="0"/>
        <w:adjustRightInd/>
        <w:snapToGrid/>
        <w:spacing w:before="0" w:after="0" w:line="357" w:lineRule="exact"/>
        <w:ind w:left="176" w:leftChars="0" w:right="0" w:rightChars="0" w:firstLine="735" w:firstLineChars="300"/>
        <w:jc w:val="left"/>
        <w:textAlignment w:val="auto"/>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val="en-US" w:eastAsia="zh-CN"/>
        </w:rPr>
        <w:t>3.</w:t>
      </w:r>
      <w:r>
        <w:rPr>
          <w:rFonts w:hint="eastAsia" w:ascii="仿宋" w:hAnsi="仿宋" w:eastAsia="仿宋" w:cs="仿宋"/>
          <w:color w:val="auto"/>
          <w:spacing w:val="0"/>
          <w:w w:val="100"/>
          <w:position w:val="0"/>
          <w:sz w:val="24"/>
          <w:szCs w:val="24"/>
          <w:highlight w:val="none"/>
        </w:rPr>
        <w:t>如果不提供详细的分项报价表将被视为没有实质性</w:t>
      </w:r>
      <w:r>
        <w:rPr>
          <w:rFonts w:hint="eastAsia" w:ascii="仿宋" w:hAnsi="仿宋" w:eastAsia="仿宋" w:cs="仿宋"/>
          <w:color w:val="auto"/>
          <w:spacing w:val="0"/>
          <w:w w:val="100"/>
          <w:position w:val="0"/>
          <w:sz w:val="24"/>
          <w:szCs w:val="24"/>
          <w:highlight w:val="none"/>
          <w:lang w:eastAsia="zh-CN"/>
        </w:rPr>
        <w:t>投标文件</w:t>
      </w:r>
      <w:r>
        <w:rPr>
          <w:rFonts w:hint="eastAsia" w:ascii="仿宋" w:hAnsi="仿宋" w:eastAsia="仿宋" w:cs="仿宋"/>
          <w:color w:val="auto"/>
          <w:spacing w:val="0"/>
          <w:w w:val="100"/>
          <w:position w:val="0"/>
          <w:sz w:val="24"/>
          <w:szCs w:val="24"/>
          <w:highlight w:val="none"/>
        </w:rPr>
        <w:t>。</w:t>
      </w:r>
    </w:p>
    <w:p>
      <w:pPr>
        <w:pStyle w:val="38"/>
        <w:keepNext w:val="0"/>
        <w:keepLines w:val="0"/>
        <w:pageBreakBefore w:val="0"/>
        <w:widowControl w:val="0"/>
        <w:numPr>
          <w:ilvl w:val="0"/>
          <w:numId w:val="0"/>
        </w:numPr>
        <w:shd w:val="clear" w:color="auto" w:fill="auto"/>
        <w:tabs>
          <w:tab w:val="left" w:pos="409"/>
          <w:tab w:val="left" w:pos="490"/>
        </w:tabs>
        <w:kinsoku/>
        <w:wordWrap/>
        <w:overflowPunct/>
        <w:topLinePunct w:val="0"/>
        <w:autoSpaceDE/>
        <w:autoSpaceDN/>
        <w:bidi w:val="0"/>
        <w:adjustRightInd/>
        <w:snapToGrid/>
        <w:spacing w:before="0" w:after="0" w:line="357" w:lineRule="exact"/>
        <w:ind w:left="176" w:leftChars="0" w:right="0" w:rightChars="0" w:firstLine="735" w:firstLineChars="3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lang w:val="en-US" w:eastAsia="zh-CN"/>
        </w:rPr>
        <w:t>4.</w:t>
      </w:r>
      <w:r>
        <w:rPr>
          <w:rFonts w:hint="eastAsia" w:ascii="仿宋" w:hAnsi="仿宋" w:eastAsia="仿宋" w:cs="仿宋"/>
          <w:color w:val="auto"/>
          <w:spacing w:val="0"/>
          <w:w w:val="100"/>
          <w:position w:val="0"/>
          <w:sz w:val="24"/>
          <w:szCs w:val="24"/>
          <w:highlight w:val="none"/>
        </w:rPr>
        <w:t>投标人必须按此表格式中的对应栏目内容填写，若需增加栏目，请在栏目</w:t>
      </w:r>
      <w:r>
        <w:rPr>
          <w:rFonts w:hint="eastAsia" w:ascii="仿宋" w:hAnsi="仿宋" w:eastAsia="仿宋" w:cs="仿宋"/>
          <w:color w:val="auto"/>
          <w:spacing w:val="0"/>
          <w:w w:val="100"/>
          <w:position w:val="0"/>
          <w:sz w:val="24"/>
          <w:szCs w:val="24"/>
          <w:highlight w:val="none"/>
          <w:lang w:val="zh-CN" w:eastAsia="zh-CN" w:bidi="zh-CN"/>
        </w:rPr>
        <w:t>“其</w:t>
      </w:r>
      <w:r>
        <w:rPr>
          <w:rFonts w:hint="eastAsia" w:ascii="仿宋" w:hAnsi="仿宋" w:eastAsia="仿宋" w:cs="仿宋"/>
          <w:color w:val="auto"/>
          <w:spacing w:val="0"/>
          <w:w w:val="100"/>
          <w:position w:val="0"/>
          <w:sz w:val="24"/>
          <w:szCs w:val="24"/>
          <w:highlight w:val="none"/>
        </w:rPr>
        <w:t>它”中填写，并作详细说明。</w:t>
      </w:r>
    </w:p>
    <w:p>
      <w:pPr>
        <w:pStyle w:val="38"/>
        <w:keepNext w:val="0"/>
        <w:keepLines w:val="0"/>
        <w:pageBreakBefore w:val="0"/>
        <w:widowControl w:val="0"/>
        <w:numPr>
          <w:ilvl w:val="0"/>
          <w:numId w:val="0"/>
        </w:numPr>
        <w:shd w:val="clear" w:color="auto" w:fill="auto"/>
        <w:tabs>
          <w:tab w:val="left" w:pos="493"/>
        </w:tabs>
        <w:kinsoku/>
        <w:wordWrap/>
        <w:overflowPunct/>
        <w:topLinePunct w:val="0"/>
        <w:autoSpaceDE/>
        <w:autoSpaceDN/>
        <w:bidi w:val="0"/>
        <w:adjustRightInd/>
        <w:snapToGrid/>
        <w:spacing w:before="0" w:after="0" w:line="357" w:lineRule="exact"/>
        <w:ind w:left="176" w:leftChars="0" w:right="0" w:rightChars="0"/>
        <w:jc w:val="left"/>
        <w:textAlignment w:val="auto"/>
        <w:outlineLvl w:val="9"/>
        <w:rPr>
          <w:rFonts w:hint="eastAsia" w:ascii="仿宋" w:hAnsi="仿宋" w:eastAsia="仿宋" w:cs="仿宋"/>
          <w:color w:val="auto"/>
          <w:spacing w:val="0"/>
          <w:w w:val="100"/>
          <w:position w:val="0"/>
          <w:sz w:val="24"/>
          <w:szCs w:val="24"/>
          <w:highlight w:val="none"/>
        </w:rPr>
      </w:pPr>
    </w:p>
    <w:p>
      <w:pPr>
        <w:pStyle w:val="38"/>
        <w:keepNext w:val="0"/>
        <w:keepLines w:val="0"/>
        <w:widowControl w:val="0"/>
        <w:numPr>
          <w:ilvl w:val="0"/>
          <w:numId w:val="0"/>
        </w:numPr>
        <w:shd w:val="clear" w:color="auto" w:fill="auto"/>
        <w:tabs>
          <w:tab w:val="left" w:pos="493"/>
        </w:tabs>
        <w:bidi w:val="0"/>
        <w:spacing w:before="0" w:after="0" w:line="317" w:lineRule="exact"/>
        <w:ind w:left="176" w:leftChars="0" w:right="0" w:rightChars="0"/>
        <w:jc w:val="left"/>
        <w:outlineLvl w:val="9"/>
        <w:rPr>
          <w:rFonts w:hint="eastAsia" w:ascii="仿宋" w:hAnsi="仿宋" w:eastAsia="仿宋" w:cs="仿宋"/>
          <w:color w:val="auto"/>
          <w:spacing w:val="0"/>
          <w:w w:val="100"/>
          <w:position w:val="0"/>
          <w:sz w:val="20"/>
          <w:szCs w:val="20"/>
          <w:highlight w:val="none"/>
        </w:rPr>
      </w:pP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w:t>
      </w:r>
      <w:r>
        <w:rPr>
          <w:rFonts w:hint="eastAsia" w:ascii="仿宋" w:hAnsi="仿宋" w:eastAsia="仿宋" w:cs="仿宋"/>
          <w:color w:val="auto"/>
          <w:sz w:val="24"/>
          <w:szCs w:val="24"/>
          <w:highlight w:val="none"/>
          <w:u w:val="single"/>
        </w:rPr>
        <w:tab/>
      </w:r>
      <w:r>
        <w:rPr>
          <w:rFonts w:hint="eastAsia" w:ascii="仿宋" w:hAnsi="仿宋" w:eastAsia="仿宋" w:cs="仿宋"/>
          <w:color w:val="auto"/>
          <w:w w:val="95"/>
          <w:sz w:val="24"/>
          <w:szCs w:val="24"/>
          <w:highlight w:val="none"/>
        </w:rPr>
        <w:t>（盖章）</w:t>
      </w:r>
      <w:r>
        <w:rPr>
          <w:rFonts w:hint="eastAsia" w:ascii="仿宋" w:hAnsi="仿宋" w:eastAsia="仿宋" w:cs="仿宋"/>
          <w:color w:val="auto"/>
          <w:sz w:val="24"/>
          <w:szCs w:val="24"/>
          <w:highlight w:val="none"/>
        </w:rPr>
        <w:t xml:space="preserve"> </w:t>
      </w: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w w:val="95"/>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w w:val="95"/>
          <w:sz w:val="24"/>
          <w:szCs w:val="24"/>
          <w:highlight w:val="none"/>
        </w:rPr>
        <w:t>（</w:t>
      </w:r>
      <w:r>
        <w:rPr>
          <w:rFonts w:hint="eastAsia" w:ascii="仿宋" w:hAnsi="仿宋" w:eastAsia="仿宋" w:cs="仿宋"/>
          <w:color w:val="auto"/>
          <w:w w:val="95"/>
          <w:sz w:val="24"/>
          <w:szCs w:val="24"/>
          <w:highlight w:val="none"/>
          <w:lang w:eastAsia="zh-CN"/>
        </w:rPr>
        <w:t>签字或盖章</w:t>
      </w:r>
      <w:r>
        <w:rPr>
          <w:rFonts w:hint="eastAsia" w:ascii="仿宋" w:hAnsi="仿宋" w:eastAsia="仿宋" w:cs="仿宋"/>
          <w:color w:val="auto"/>
          <w:w w:val="95"/>
          <w:sz w:val="24"/>
          <w:szCs w:val="24"/>
          <w:highlight w:val="none"/>
        </w:rPr>
        <w:t>）</w:t>
      </w:r>
    </w:p>
    <w:p>
      <w:pPr>
        <w:pStyle w:val="9"/>
        <w:numPr>
          <w:ilvl w:val="0"/>
          <w:numId w:val="0"/>
        </w:numPr>
        <w:tabs>
          <w:tab w:val="left" w:pos="5551"/>
          <w:tab w:val="left" w:pos="6511"/>
          <w:tab w:val="left" w:pos="7111"/>
          <w:tab w:val="left" w:pos="7711"/>
        </w:tabs>
        <w:kinsoku w:val="0"/>
        <w:overflowPunct w:val="0"/>
        <w:spacing w:before="46"/>
        <w:ind w:left="3928" w:leftChars="0" w:right="0" w:rightChars="0"/>
        <w:outlineLvl w:val="9"/>
        <w:rPr>
          <w:rFonts w:hint="eastAsia" w:ascii="仿宋" w:hAnsi="仿宋" w:eastAsia="仿宋" w:cs="仿宋"/>
          <w:b/>
          <w:bCs/>
          <w:color w:val="auto"/>
          <w:sz w:val="36"/>
          <w:szCs w:val="36"/>
          <w:highlight w:val="none"/>
          <w:lang w:eastAsia="zh-CN"/>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日</w:t>
      </w:r>
    </w:p>
    <w:p>
      <w:pPr>
        <w:pStyle w:val="34"/>
        <w:keepNext/>
        <w:keepLines/>
        <w:widowControl w:val="0"/>
        <w:numPr>
          <w:ilvl w:val="0"/>
          <w:numId w:val="0"/>
        </w:numPr>
        <w:shd w:val="clear" w:color="auto" w:fill="auto"/>
        <w:bidi w:val="0"/>
        <w:spacing w:before="0" w:after="220" w:line="240" w:lineRule="auto"/>
        <w:ind w:right="0" w:rightChars="0"/>
        <w:jc w:val="center"/>
        <w:outlineLvl w:val="9"/>
        <w:rPr>
          <w:rFonts w:hint="eastAsia" w:ascii="仿宋" w:hAnsi="仿宋" w:eastAsia="仿宋" w:cs="仿宋"/>
          <w:b/>
          <w:bCs/>
          <w:color w:val="auto"/>
          <w:spacing w:val="0"/>
          <w:w w:val="100"/>
          <w:position w:val="0"/>
          <w:highlight w:val="none"/>
          <w:lang w:val="en-US" w:eastAsia="zh-CN"/>
        </w:rPr>
      </w:pPr>
      <w:bookmarkStart w:id="127" w:name="_Toc5218"/>
      <w:bookmarkStart w:id="128" w:name="_Toc21177"/>
      <w:bookmarkStart w:id="129" w:name="_Toc14853"/>
      <w:bookmarkStart w:id="130" w:name="_Toc17126"/>
      <w:bookmarkStart w:id="131" w:name="_Toc31583"/>
      <w:bookmarkStart w:id="132" w:name="_Toc19895"/>
      <w:r>
        <w:rPr>
          <w:rFonts w:hint="eastAsia" w:ascii="仿宋" w:hAnsi="仿宋" w:eastAsia="仿宋" w:cs="仿宋"/>
          <w:b/>
          <w:bCs/>
          <w:color w:val="auto"/>
          <w:spacing w:val="0"/>
          <w:w w:val="100"/>
          <w:position w:val="0"/>
          <w:highlight w:val="none"/>
          <w:lang w:val="en-US" w:eastAsia="zh-CN"/>
        </w:rPr>
        <w:t>5、技术条款偏离表</w:t>
      </w:r>
      <w:bookmarkEnd w:id="127"/>
      <w:bookmarkEnd w:id="128"/>
      <w:bookmarkEnd w:id="129"/>
      <w:bookmarkEnd w:id="130"/>
      <w:bookmarkEnd w:id="131"/>
      <w:bookmarkEnd w:id="132"/>
    </w:p>
    <w:tbl>
      <w:tblPr>
        <w:tblStyle w:val="24"/>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905"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序号</w:t>
            </w:r>
          </w:p>
        </w:tc>
        <w:tc>
          <w:tcPr>
            <w:tcW w:w="1357"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货物名称</w:t>
            </w:r>
          </w:p>
        </w:tc>
        <w:tc>
          <w:tcPr>
            <w:tcW w:w="1326"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招标文件条目号</w:t>
            </w:r>
          </w:p>
        </w:tc>
        <w:tc>
          <w:tcPr>
            <w:tcW w:w="1326"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招标文件要求规格</w:t>
            </w:r>
          </w:p>
        </w:tc>
        <w:tc>
          <w:tcPr>
            <w:tcW w:w="1326"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投标规格</w:t>
            </w:r>
          </w:p>
        </w:tc>
        <w:tc>
          <w:tcPr>
            <w:tcW w:w="1327"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偏离</w:t>
            </w:r>
          </w:p>
        </w:tc>
        <w:tc>
          <w:tcPr>
            <w:tcW w:w="1327"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905" w:type="dxa"/>
            <w:noWrap w:val="0"/>
            <w:vAlign w:val="top"/>
          </w:tcPr>
          <w:p>
            <w:pPr>
              <w:jc w:val="center"/>
              <w:outlineLvl w:val="9"/>
              <w:rPr>
                <w:rFonts w:hint="eastAsia" w:ascii="仿宋" w:hAnsi="仿宋" w:eastAsia="仿宋" w:cs="仿宋"/>
                <w:b/>
                <w:bCs/>
                <w:color w:val="auto"/>
                <w:sz w:val="24"/>
                <w:szCs w:val="24"/>
                <w:highlight w:val="none"/>
              </w:rPr>
            </w:pPr>
          </w:p>
        </w:tc>
        <w:tc>
          <w:tcPr>
            <w:tcW w:w="1357"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r>
              <w:rPr>
                <w:rFonts w:hint="eastAsia" w:ascii="仿宋" w:hAnsi="仿宋" w:eastAsia="仿宋" w:cs="仿宋"/>
                <w:bCs/>
                <w:color w:val="auto"/>
                <w:sz w:val="24"/>
                <w:szCs w:val="24"/>
                <w:highlight w:val="none"/>
                <w:lang w:val="en-US" w:eastAsia="zh-CN"/>
              </w:rPr>
              <w:t>如有正偏离需提供证明材料，证明材料附后(并注明页码)</w:t>
            </w: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905" w:type="dxa"/>
            <w:noWrap w:val="0"/>
            <w:vAlign w:val="top"/>
          </w:tcPr>
          <w:p>
            <w:pPr>
              <w:jc w:val="center"/>
              <w:outlineLvl w:val="9"/>
              <w:rPr>
                <w:rFonts w:hint="eastAsia" w:ascii="仿宋" w:hAnsi="仿宋" w:eastAsia="仿宋" w:cs="仿宋"/>
                <w:b/>
                <w:bCs/>
                <w:color w:val="auto"/>
                <w:sz w:val="24"/>
                <w:szCs w:val="24"/>
                <w:highlight w:val="none"/>
              </w:rPr>
            </w:pPr>
          </w:p>
        </w:tc>
        <w:tc>
          <w:tcPr>
            <w:tcW w:w="1357"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905" w:type="dxa"/>
            <w:noWrap w:val="0"/>
            <w:vAlign w:val="top"/>
          </w:tcPr>
          <w:p>
            <w:pPr>
              <w:jc w:val="center"/>
              <w:outlineLvl w:val="9"/>
              <w:rPr>
                <w:rFonts w:hint="eastAsia" w:ascii="仿宋" w:hAnsi="仿宋" w:eastAsia="仿宋" w:cs="仿宋"/>
                <w:b/>
                <w:bCs/>
                <w:color w:val="auto"/>
                <w:sz w:val="24"/>
                <w:szCs w:val="24"/>
                <w:highlight w:val="none"/>
              </w:rPr>
            </w:pPr>
          </w:p>
        </w:tc>
        <w:tc>
          <w:tcPr>
            <w:tcW w:w="1357"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905" w:type="dxa"/>
            <w:noWrap w:val="0"/>
            <w:vAlign w:val="top"/>
          </w:tcPr>
          <w:p>
            <w:pPr>
              <w:jc w:val="center"/>
              <w:outlineLvl w:val="9"/>
              <w:rPr>
                <w:rFonts w:hint="eastAsia" w:ascii="仿宋" w:hAnsi="仿宋" w:eastAsia="仿宋" w:cs="仿宋"/>
                <w:b/>
                <w:bCs/>
                <w:color w:val="auto"/>
                <w:sz w:val="24"/>
                <w:szCs w:val="24"/>
                <w:highlight w:val="none"/>
              </w:rPr>
            </w:pPr>
          </w:p>
        </w:tc>
        <w:tc>
          <w:tcPr>
            <w:tcW w:w="1357"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905" w:type="dxa"/>
            <w:noWrap w:val="0"/>
            <w:vAlign w:val="top"/>
          </w:tcPr>
          <w:p>
            <w:pPr>
              <w:jc w:val="center"/>
              <w:outlineLvl w:val="9"/>
              <w:rPr>
                <w:rFonts w:hint="eastAsia" w:ascii="仿宋" w:hAnsi="仿宋" w:eastAsia="仿宋" w:cs="仿宋"/>
                <w:b/>
                <w:bCs/>
                <w:color w:val="auto"/>
                <w:sz w:val="24"/>
                <w:szCs w:val="24"/>
                <w:highlight w:val="none"/>
              </w:rPr>
            </w:pPr>
          </w:p>
        </w:tc>
        <w:tc>
          <w:tcPr>
            <w:tcW w:w="1357"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r>
    </w:tbl>
    <w:p>
      <w:pPr>
        <w:spacing w:line="360" w:lineRule="auto"/>
        <w:ind w:firstLine="484" w:firstLineChars="198"/>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pStyle w:val="13"/>
        <w:tabs>
          <w:tab w:val="left" w:pos="5580"/>
        </w:tabs>
        <w:spacing w:line="360" w:lineRule="auto"/>
        <w:ind w:firstLine="3185" w:firstLineChars="1300"/>
        <w:outlineLvl w:val="9"/>
        <w:rPr>
          <w:rFonts w:hint="eastAsia" w:ascii="仿宋" w:hAnsi="仿宋" w:eastAsia="仿宋" w:cs="仿宋"/>
          <w:color w:val="auto"/>
          <w:sz w:val="24"/>
          <w:highlight w:val="none"/>
        </w:rPr>
      </w:pPr>
    </w:p>
    <w:p>
      <w:pPr>
        <w:pStyle w:val="13"/>
        <w:tabs>
          <w:tab w:val="left" w:pos="5580"/>
        </w:tabs>
        <w:spacing w:line="360" w:lineRule="auto"/>
        <w:ind w:firstLine="3185" w:firstLineChars="13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投标人（盖章）：</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pPr>
        <w:pStyle w:val="13"/>
        <w:tabs>
          <w:tab w:val="left" w:pos="5580"/>
        </w:tabs>
        <w:spacing w:line="360" w:lineRule="auto"/>
        <w:ind w:firstLine="3185" w:firstLineChars="1300"/>
        <w:outlineLvl w:val="9"/>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sz w:val="24"/>
          <w:highlight w:val="none"/>
          <w:lang w:eastAsia="zh-CN"/>
        </w:rPr>
        <w:t>法定代表人或</w:t>
      </w:r>
      <w:r>
        <w:rPr>
          <w:rFonts w:hint="eastAsia" w:ascii="仿宋" w:hAnsi="仿宋" w:eastAsia="仿宋" w:cs="仿宋"/>
          <w:color w:val="auto"/>
          <w:kern w:val="0"/>
          <w:sz w:val="24"/>
          <w:szCs w:val="24"/>
          <w:highlight w:val="none"/>
        </w:rPr>
        <w:t>委托代理人</w:t>
      </w:r>
      <w:r>
        <w:rPr>
          <w:rFonts w:hint="eastAsia" w:ascii="仿宋" w:hAnsi="仿宋" w:eastAsia="仿宋" w:cs="仿宋"/>
          <w:color w:val="auto"/>
          <w:sz w:val="24"/>
          <w:highlight w:val="none"/>
          <w:lang w:eastAsia="zh-CN"/>
        </w:rPr>
        <w:t>（签字或盖章）</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3185" w:firstLineChars="13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color w:val="auto"/>
          <w:highlight w:val="none"/>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b/>
          <w:bCs/>
          <w:color w:val="auto"/>
          <w:spacing w:val="0"/>
          <w:w w:val="100"/>
          <w:position w:val="0"/>
          <w:sz w:val="36"/>
          <w:szCs w:val="36"/>
          <w:highlight w:val="none"/>
          <w:lang w:eastAsia="zh-CN"/>
        </w:rPr>
      </w:pPr>
      <w:r>
        <w:rPr>
          <w:rFonts w:hint="eastAsia" w:ascii="仿宋" w:hAnsi="仿宋" w:eastAsia="仿宋" w:cs="仿宋"/>
          <w:b/>
          <w:bCs/>
          <w:color w:val="auto"/>
          <w:spacing w:val="0"/>
          <w:w w:val="100"/>
          <w:position w:val="0"/>
          <w:sz w:val="36"/>
          <w:szCs w:val="36"/>
          <w:highlight w:val="none"/>
          <w:lang w:val="en-US" w:eastAsia="zh-CN"/>
        </w:rPr>
        <w:t>6</w:t>
      </w:r>
      <w:r>
        <w:rPr>
          <w:rFonts w:hint="eastAsia" w:ascii="仿宋" w:hAnsi="仿宋" w:eastAsia="仿宋" w:cs="仿宋"/>
          <w:b/>
          <w:bCs/>
          <w:color w:val="auto"/>
          <w:spacing w:val="0"/>
          <w:w w:val="100"/>
          <w:position w:val="0"/>
          <w:sz w:val="36"/>
          <w:szCs w:val="36"/>
          <w:highlight w:val="none"/>
        </w:rPr>
        <w:t>、</w:t>
      </w:r>
      <w:r>
        <w:rPr>
          <w:rFonts w:hint="eastAsia" w:ascii="仿宋" w:hAnsi="仿宋" w:eastAsia="仿宋" w:cs="仿宋"/>
          <w:b/>
          <w:bCs/>
          <w:color w:val="auto"/>
          <w:spacing w:val="0"/>
          <w:w w:val="100"/>
          <w:position w:val="0"/>
          <w:sz w:val="36"/>
          <w:szCs w:val="36"/>
          <w:highlight w:val="none"/>
          <w:lang w:eastAsia="zh-CN"/>
        </w:rPr>
        <w:t>商务条款偏离表</w:t>
      </w:r>
    </w:p>
    <w:tbl>
      <w:tblPr>
        <w:tblStyle w:val="24"/>
        <w:tblW w:w="90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154"/>
        <w:gridCol w:w="2477"/>
        <w:gridCol w:w="2454"/>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序号</w:t>
            </w:r>
          </w:p>
        </w:tc>
        <w:tc>
          <w:tcPr>
            <w:tcW w:w="2154" w:type="dxa"/>
            <w:noWrap w:val="0"/>
            <w:vAlign w:val="top"/>
          </w:tcPr>
          <w:p>
            <w:pPr>
              <w:pStyle w:val="13"/>
              <w:shd w:val="clear" w:color="auto" w:fill="auto"/>
              <w:spacing w:line="240" w:lineRule="atLeast"/>
              <w:ind w:left="0" w:leftChars="0" w:right="0" w:rightChars="0" w:firstLine="0" w:firstLineChars="0"/>
              <w:jc w:val="cente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z w:val="24"/>
                <w:highlight w:val="none"/>
                <w:lang w:val="en-US" w:eastAsia="zh-CN"/>
              </w:rPr>
              <w:t>招标文件条款号</w:t>
            </w:r>
          </w:p>
        </w:tc>
        <w:tc>
          <w:tcPr>
            <w:tcW w:w="2477" w:type="dxa"/>
            <w:noWrap w:val="0"/>
            <w:vAlign w:val="top"/>
          </w:tcPr>
          <w:p>
            <w:pPr>
              <w:pStyle w:val="13"/>
              <w:shd w:val="clear" w:color="auto" w:fill="auto"/>
              <w:spacing w:line="240" w:lineRule="atLeast"/>
              <w:ind w:left="0" w:leftChars="0" w:right="0" w:rightChars="0" w:firstLine="0" w:firstLineChars="0"/>
              <w:jc w:val="cente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z w:val="24"/>
                <w:highlight w:val="none"/>
                <w:lang w:val="en-US" w:eastAsia="zh-CN"/>
              </w:rPr>
              <w:t>招标文件的商务条款</w:t>
            </w:r>
          </w:p>
        </w:tc>
        <w:tc>
          <w:tcPr>
            <w:tcW w:w="2454" w:type="dxa"/>
            <w:noWrap w:val="0"/>
            <w:vAlign w:val="top"/>
          </w:tcPr>
          <w:p>
            <w:pPr>
              <w:pStyle w:val="13"/>
              <w:shd w:val="clear" w:color="auto" w:fill="auto"/>
              <w:spacing w:line="240" w:lineRule="atLeast"/>
              <w:ind w:left="0" w:leftChars="0" w:right="0" w:rightChars="0" w:firstLine="0" w:firstLineChars="0"/>
              <w:jc w:val="cente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z w:val="24"/>
                <w:highlight w:val="none"/>
                <w:lang w:val="en-US" w:eastAsia="zh-CN"/>
              </w:rPr>
              <w:t>投标文件的商务条款</w:t>
            </w:r>
          </w:p>
        </w:tc>
        <w:tc>
          <w:tcPr>
            <w:tcW w:w="1130" w:type="dxa"/>
            <w:noWrap w:val="0"/>
            <w:vAlign w:val="top"/>
          </w:tcPr>
          <w:p>
            <w:pPr>
              <w:pStyle w:val="13"/>
              <w:shd w:val="clear" w:color="auto" w:fill="auto"/>
              <w:spacing w:line="240" w:lineRule="atLeast"/>
              <w:ind w:left="0" w:leftChars="0" w:right="0" w:rightChars="0" w:firstLine="0" w:firstLineChars="0"/>
              <w:jc w:val="cente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z w:val="24"/>
                <w:highlight w:val="no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2</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3</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4</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5</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6</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7</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8</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9</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10</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11</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12</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13</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14</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15</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bl>
    <w:p>
      <w:pPr>
        <w:outlineLvl w:val="9"/>
        <w:rPr>
          <w:rFonts w:hint="eastAsia" w:ascii="仿宋" w:hAnsi="仿宋" w:eastAsia="仿宋" w:cs="仿宋"/>
          <w:color w:val="auto"/>
          <w:spacing w:val="-1"/>
          <w:kern w:val="0"/>
          <w:sz w:val="24"/>
          <w:highlight w:val="none"/>
        </w:rPr>
      </w:pPr>
    </w:p>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注：请在“偏离说明”栏内扼要说明偏离情况，如无偏离则不需列明。</w:t>
      </w: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highlight w:val="none"/>
        </w:rPr>
      </w:pP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highlight w:val="none"/>
        </w:rPr>
      </w:pP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w:t>
      </w:r>
      <w:r>
        <w:rPr>
          <w:rFonts w:hint="eastAsia" w:ascii="仿宋" w:hAnsi="仿宋" w:eastAsia="仿宋" w:cs="仿宋"/>
          <w:color w:val="auto"/>
          <w:sz w:val="24"/>
          <w:szCs w:val="24"/>
          <w:highlight w:val="none"/>
          <w:u w:val="single"/>
        </w:rPr>
        <w:tab/>
      </w:r>
      <w:r>
        <w:rPr>
          <w:rFonts w:hint="eastAsia" w:ascii="仿宋" w:hAnsi="仿宋" w:eastAsia="仿宋" w:cs="仿宋"/>
          <w:color w:val="auto"/>
          <w:w w:val="95"/>
          <w:sz w:val="24"/>
          <w:szCs w:val="24"/>
          <w:highlight w:val="none"/>
        </w:rPr>
        <w:t>（盖章）</w:t>
      </w:r>
      <w:r>
        <w:rPr>
          <w:rFonts w:hint="eastAsia" w:ascii="仿宋" w:hAnsi="仿宋" w:eastAsia="仿宋" w:cs="仿宋"/>
          <w:color w:val="auto"/>
          <w:sz w:val="24"/>
          <w:szCs w:val="24"/>
          <w:highlight w:val="none"/>
        </w:rPr>
        <w:t xml:space="preserve"> </w:t>
      </w: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w w:val="95"/>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w w:val="95"/>
          <w:sz w:val="24"/>
          <w:szCs w:val="24"/>
          <w:highlight w:val="none"/>
        </w:rPr>
        <w:t>（</w:t>
      </w:r>
      <w:r>
        <w:rPr>
          <w:rFonts w:hint="eastAsia" w:ascii="仿宋" w:hAnsi="仿宋" w:eastAsia="仿宋" w:cs="仿宋"/>
          <w:color w:val="auto"/>
          <w:w w:val="95"/>
          <w:sz w:val="24"/>
          <w:szCs w:val="24"/>
          <w:highlight w:val="none"/>
          <w:lang w:eastAsia="zh-CN"/>
        </w:rPr>
        <w:t>签字或盖章</w:t>
      </w:r>
      <w:r>
        <w:rPr>
          <w:rFonts w:hint="eastAsia" w:ascii="仿宋" w:hAnsi="仿宋" w:eastAsia="仿宋" w:cs="仿宋"/>
          <w:color w:val="auto"/>
          <w:w w:val="95"/>
          <w:sz w:val="24"/>
          <w:szCs w:val="24"/>
          <w:highlight w:val="none"/>
        </w:rPr>
        <w:t>）</w:t>
      </w: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z w:val="24"/>
          <w:szCs w:val="24"/>
          <w:highlight w:val="none"/>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日</w:t>
      </w: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rPr>
      </w:pPr>
    </w:p>
    <w:p>
      <w:pPr>
        <w:pStyle w:val="36"/>
        <w:keepNext w:val="0"/>
        <w:keepLines w:val="0"/>
        <w:widowControl w:val="0"/>
        <w:shd w:val="clear" w:color="auto" w:fill="auto"/>
        <w:tabs>
          <w:tab w:val="left" w:pos="826"/>
        </w:tabs>
        <w:bidi w:val="0"/>
        <w:spacing w:before="0" w:after="0" w:line="470" w:lineRule="exact"/>
        <w:ind w:left="0" w:leftChars="0" w:right="0" w:firstLine="0" w:firstLineChars="0"/>
        <w:jc w:val="center"/>
        <w:outlineLvl w:val="9"/>
        <w:rPr>
          <w:rFonts w:hint="eastAsia" w:ascii="仿宋" w:hAnsi="仿宋" w:eastAsia="仿宋" w:cs="仿宋"/>
          <w:color w:val="auto"/>
          <w:spacing w:val="0"/>
          <w:w w:val="100"/>
          <w:position w:val="0"/>
          <w:sz w:val="21"/>
          <w:szCs w:val="21"/>
          <w:highlight w:val="none"/>
        </w:rPr>
      </w:pPr>
    </w:p>
    <w:p>
      <w:pPr>
        <w:pStyle w:val="36"/>
        <w:keepNext w:val="0"/>
        <w:keepLines w:val="0"/>
        <w:widowControl w:val="0"/>
        <w:shd w:val="clear" w:color="auto" w:fill="auto"/>
        <w:tabs>
          <w:tab w:val="left" w:pos="826"/>
        </w:tabs>
        <w:bidi w:val="0"/>
        <w:spacing w:before="0" w:after="0" w:line="470" w:lineRule="exact"/>
        <w:ind w:left="0" w:leftChars="0" w:right="0" w:firstLine="0" w:firstLineChars="0"/>
        <w:jc w:val="center"/>
        <w:outlineLvl w:val="9"/>
        <w:rPr>
          <w:rFonts w:hint="eastAsia" w:ascii="仿宋" w:hAnsi="仿宋" w:eastAsia="仿宋" w:cs="仿宋"/>
          <w:color w:val="auto"/>
          <w:spacing w:val="0"/>
          <w:w w:val="100"/>
          <w:position w:val="0"/>
          <w:sz w:val="21"/>
          <w:szCs w:val="21"/>
          <w:highlight w:val="none"/>
        </w:rPr>
      </w:pPr>
    </w:p>
    <w:p>
      <w:pPr>
        <w:pStyle w:val="36"/>
        <w:keepNext w:val="0"/>
        <w:keepLines w:val="0"/>
        <w:widowControl w:val="0"/>
        <w:shd w:val="clear" w:color="auto" w:fill="auto"/>
        <w:tabs>
          <w:tab w:val="left" w:pos="826"/>
        </w:tabs>
        <w:bidi w:val="0"/>
        <w:spacing w:before="0" w:after="0" w:line="470" w:lineRule="exact"/>
        <w:ind w:left="0" w:leftChars="0" w:right="0" w:firstLine="0" w:firstLineChars="0"/>
        <w:jc w:val="center"/>
        <w:outlineLvl w:val="9"/>
        <w:rPr>
          <w:rFonts w:hint="eastAsia" w:ascii="仿宋" w:hAnsi="仿宋" w:eastAsia="仿宋" w:cs="仿宋"/>
          <w:color w:val="auto"/>
          <w:spacing w:val="0"/>
          <w:w w:val="100"/>
          <w:position w:val="0"/>
          <w:sz w:val="21"/>
          <w:szCs w:val="21"/>
          <w:highlight w:val="none"/>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b/>
          <w:bCs/>
          <w:color w:val="auto"/>
          <w:spacing w:val="0"/>
          <w:w w:val="100"/>
          <w:position w:val="0"/>
          <w:sz w:val="36"/>
          <w:szCs w:val="36"/>
          <w:highlight w:val="none"/>
          <w:lang w:val="en-US" w:eastAsia="zh-CN"/>
        </w:rPr>
      </w:pPr>
      <w:r>
        <w:rPr>
          <w:rFonts w:hint="eastAsia" w:ascii="仿宋" w:hAnsi="仿宋" w:eastAsia="仿宋" w:cs="仿宋"/>
          <w:b/>
          <w:bCs/>
          <w:color w:val="auto"/>
          <w:spacing w:val="0"/>
          <w:w w:val="100"/>
          <w:position w:val="0"/>
          <w:sz w:val="36"/>
          <w:szCs w:val="36"/>
          <w:highlight w:val="none"/>
          <w:lang w:val="en-US" w:eastAsia="zh-CN"/>
        </w:rPr>
        <w:t>7、投标人基本情况表</w:t>
      </w:r>
    </w:p>
    <w:p>
      <w:pPr>
        <w:pStyle w:val="9"/>
        <w:numPr>
          <w:ilvl w:val="0"/>
          <w:numId w:val="0"/>
        </w:numPr>
        <w:kinsoku w:val="0"/>
        <w:overflowPunct w:val="0"/>
        <w:spacing w:before="5"/>
        <w:ind w:leftChars="0" w:right="0" w:rightChars="0"/>
        <w:outlineLvl w:val="9"/>
        <w:rPr>
          <w:rFonts w:hint="eastAsia" w:ascii="仿宋" w:hAnsi="仿宋" w:eastAsia="仿宋" w:cs="仿宋"/>
          <w:b/>
          <w:bCs/>
          <w:color w:val="auto"/>
          <w:sz w:val="6"/>
          <w:szCs w:val="6"/>
          <w:highlight w:val="none"/>
        </w:rPr>
      </w:pPr>
    </w:p>
    <w:tbl>
      <w:tblPr>
        <w:tblStyle w:val="24"/>
        <w:tblW w:w="8714" w:type="dxa"/>
        <w:jc w:val="center"/>
        <w:tblLayout w:type="fixed"/>
        <w:tblCellMar>
          <w:top w:w="0" w:type="dxa"/>
          <w:left w:w="0" w:type="dxa"/>
          <w:bottom w:w="0" w:type="dxa"/>
          <w:right w:w="0" w:type="dxa"/>
        </w:tblCellMar>
      </w:tblPr>
      <w:tblGrid>
        <w:gridCol w:w="1242"/>
        <w:gridCol w:w="1445"/>
        <w:gridCol w:w="849"/>
        <w:gridCol w:w="493"/>
        <w:gridCol w:w="655"/>
        <w:gridCol w:w="688"/>
        <w:gridCol w:w="458"/>
        <w:gridCol w:w="367"/>
        <w:gridCol w:w="552"/>
        <w:gridCol w:w="1965"/>
      </w:tblGrid>
      <w:tr>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137"/>
              <w:outlineLvl w:val="9"/>
              <w:rPr>
                <w:rFonts w:hint="eastAsia" w:ascii="仿宋" w:hAnsi="仿宋" w:eastAsia="仿宋" w:cs="仿宋"/>
                <w:color w:val="auto"/>
                <w:highlight w:val="none"/>
              </w:rPr>
            </w:pPr>
            <w:r>
              <w:rPr>
                <w:rFonts w:hint="eastAsia" w:ascii="仿宋" w:hAnsi="仿宋" w:eastAsia="仿宋" w:cs="仿宋"/>
                <w:color w:val="auto"/>
                <w:highlight w:val="none"/>
              </w:rPr>
              <w:t>单位名称</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137"/>
              <w:outlineLvl w:val="9"/>
              <w:rPr>
                <w:rFonts w:hint="eastAsia" w:ascii="仿宋" w:hAnsi="仿宋" w:eastAsia="仿宋" w:cs="仿宋"/>
                <w:color w:val="auto"/>
                <w:highlight w:val="none"/>
              </w:rPr>
            </w:pPr>
            <w:r>
              <w:rPr>
                <w:rFonts w:hint="eastAsia" w:ascii="仿宋" w:hAnsi="仿宋" w:eastAsia="仿宋" w:cs="仿宋"/>
                <w:color w:val="auto"/>
                <w:highlight w:val="none"/>
              </w:rPr>
              <w:t>单位地址</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137"/>
              <w:outlineLvl w:val="9"/>
              <w:rPr>
                <w:rFonts w:hint="eastAsia" w:ascii="仿宋" w:hAnsi="仿宋" w:eastAsia="仿宋" w:cs="仿宋"/>
                <w:color w:val="auto"/>
                <w:highlight w:val="none"/>
              </w:rPr>
            </w:pPr>
            <w:r>
              <w:rPr>
                <w:rFonts w:hint="eastAsia" w:ascii="仿宋" w:hAnsi="仿宋" w:eastAsia="仿宋" w:cs="仿宋"/>
                <w:color w:val="auto"/>
                <w:highlight w:val="none"/>
              </w:rPr>
              <w:t>主管部门</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137"/>
              <w:outlineLvl w:val="9"/>
              <w:rPr>
                <w:rFonts w:hint="eastAsia" w:ascii="仿宋" w:hAnsi="仿宋" w:eastAsia="仿宋" w:cs="仿宋"/>
                <w:color w:val="auto"/>
                <w:highlight w:val="none"/>
              </w:rPr>
            </w:pPr>
            <w:r>
              <w:rPr>
                <w:rFonts w:hint="eastAsia" w:ascii="仿宋" w:hAnsi="仿宋" w:eastAsia="仿宋" w:cs="仿宋"/>
                <w:color w:val="auto"/>
                <w:highlight w:val="none"/>
              </w:rPr>
              <w:t>成立时间</w:t>
            </w:r>
          </w:p>
        </w:tc>
        <w:tc>
          <w:tcPr>
            <w:tcW w:w="2294"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2294" w:type="dxa"/>
            <w:gridSpan w:val="4"/>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181"/>
              <w:outlineLvl w:val="9"/>
              <w:rPr>
                <w:rFonts w:hint="eastAsia" w:ascii="仿宋" w:hAnsi="仿宋" w:eastAsia="仿宋" w:cs="仿宋"/>
                <w:color w:val="auto"/>
                <w:highlight w:val="none"/>
              </w:rPr>
            </w:pPr>
            <w:r>
              <w:rPr>
                <w:rFonts w:hint="eastAsia" w:ascii="仿宋" w:hAnsi="仿宋" w:eastAsia="仿宋" w:cs="仿宋"/>
                <w:color w:val="auto"/>
                <w:highlight w:val="none"/>
              </w:rPr>
              <w:t>注册资金（万元）</w:t>
            </w:r>
          </w:p>
        </w:tc>
        <w:tc>
          <w:tcPr>
            <w:tcW w:w="2884"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6"/>
              <w:ind w:left="137"/>
              <w:outlineLvl w:val="9"/>
              <w:rPr>
                <w:rFonts w:hint="eastAsia" w:ascii="仿宋" w:hAnsi="仿宋" w:eastAsia="仿宋" w:cs="仿宋"/>
                <w:color w:val="auto"/>
                <w:highlight w:val="none"/>
              </w:rPr>
            </w:pPr>
            <w:r>
              <w:rPr>
                <w:rFonts w:hint="eastAsia" w:ascii="仿宋" w:hAnsi="仿宋" w:eastAsia="仿宋" w:cs="仿宋"/>
                <w:color w:val="auto"/>
                <w:highlight w:val="none"/>
              </w:rPr>
              <w:t>单位性质</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933"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1" w:line="312" w:lineRule="exact"/>
              <w:ind w:left="257" w:right="133" w:hanging="120"/>
              <w:outlineLvl w:val="9"/>
              <w:rPr>
                <w:rFonts w:hint="eastAsia" w:ascii="仿宋" w:hAnsi="仿宋" w:eastAsia="仿宋" w:cs="仿宋"/>
                <w:color w:val="auto"/>
                <w:highlight w:val="none"/>
              </w:rPr>
            </w:pPr>
            <w:r>
              <w:rPr>
                <w:rFonts w:hint="eastAsia" w:ascii="仿宋" w:hAnsi="仿宋" w:eastAsia="仿宋" w:cs="仿宋"/>
                <w:color w:val="auto"/>
                <w:highlight w:val="none"/>
              </w:rPr>
              <w:t>投标期间 联系人</w:t>
            </w: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342" w:type="dxa"/>
            <w:gridSpan w:val="2"/>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4"/>
              <w:outlineLvl w:val="9"/>
              <w:rPr>
                <w:rFonts w:hint="eastAsia" w:ascii="仿宋" w:hAnsi="仿宋" w:eastAsia="仿宋" w:cs="仿宋"/>
                <w:b/>
                <w:bCs/>
                <w:color w:val="auto"/>
                <w:sz w:val="20"/>
                <w:szCs w:val="20"/>
                <w:highlight w:val="none"/>
              </w:rPr>
            </w:pPr>
          </w:p>
          <w:p>
            <w:pPr>
              <w:pStyle w:val="39"/>
              <w:kinsoku w:val="0"/>
              <w:overflowPunct w:val="0"/>
              <w:ind w:left="366"/>
              <w:outlineLvl w:val="9"/>
              <w:rPr>
                <w:rFonts w:hint="eastAsia" w:ascii="仿宋" w:hAnsi="仿宋" w:eastAsia="仿宋" w:cs="仿宋"/>
                <w:color w:val="auto"/>
                <w:highlight w:val="none"/>
              </w:rPr>
            </w:pPr>
            <w:r>
              <w:rPr>
                <w:rFonts w:hint="eastAsia" w:ascii="仿宋" w:hAnsi="仿宋" w:eastAsia="仿宋" w:cs="仿宋"/>
                <w:color w:val="auto"/>
                <w:highlight w:val="none"/>
              </w:rPr>
              <w:t>电 话</w:t>
            </w:r>
          </w:p>
        </w:tc>
        <w:tc>
          <w:tcPr>
            <w:tcW w:w="1343"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377" w:type="dxa"/>
            <w:gridSpan w:val="3"/>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4"/>
              <w:outlineLvl w:val="9"/>
              <w:rPr>
                <w:rFonts w:hint="eastAsia" w:ascii="仿宋" w:hAnsi="仿宋" w:eastAsia="仿宋" w:cs="仿宋"/>
                <w:b/>
                <w:bCs/>
                <w:color w:val="auto"/>
                <w:sz w:val="20"/>
                <w:szCs w:val="20"/>
                <w:highlight w:val="none"/>
              </w:rPr>
            </w:pPr>
          </w:p>
          <w:p>
            <w:pPr>
              <w:pStyle w:val="39"/>
              <w:kinsoku w:val="0"/>
              <w:overflowPunct w:val="0"/>
              <w:ind w:left="383"/>
              <w:outlineLvl w:val="9"/>
              <w:rPr>
                <w:rFonts w:hint="eastAsia" w:ascii="仿宋" w:hAnsi="仿宋" w:eastAsia="仿宋" w:cs="仿宋"/>
                <w:color w:val="auto"/>
                <w:highlight w:val="none"/>
              </w:rPr>
            </w:pPr>
            <w:r>
              <w:rPr>
                <w:rFonts w:hint="eastAsia" w:ascii="仿宋" w:hAnsi="仿宋" w:eastAsia="仿宋" w:cs="仿宋"/>
                <w:color w:val="auto"/>
                <w:highlight w:val="none"/>
              </w:rPr>
              <w:t>传 真</w:t>
            </w:r>
          </w:p>
        </w:tc>
        <w:tc>
          <w:tcPr>
            <w:tcW w:w="1965" w:type="dxa"/>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691" w:hRule="exact"/>
          <w:jc w:val="center"/>
        </w:trPr>
        <w:tc>
          <w:tcPr>
            <w:tcW w:w="1242" w:type="dxa"/>
            <w:vMerge w:val="restart"/>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outlineLvl w:val="9"/>
              <w:rPr>
                <w:rFonts w:hint="eastAsia" w:ascii="仿宋" w:hAnsi="仿宋" w:eastAsia="仿宋" w:cs="仿宋"/>
                <w:b/>
                <w:bCs/>
                <w:color w:val="auto"/>
                <w:highlight w:val="none"/>
              </w:rPr>
            </w:pPr>
          </w:p>
          <w:p>
            <w:pPr>
              <w:pStyle w:val="39"/>
              <w:kinsoku w:val="0"/>
              <w:overflowPunct w:val="0"/>
              <w:outlineLvl w:val="9"/>
              <w:rPr>
                <w:rFonts w:hint="eastAsia" w:ascii="仿宋" w:hAnsi="仿宋" w:eastAsia="仿宋" w:cs="仿宋"/>
                <w:b/>
                <w:bCs/>
                <w:color w:val="auto"/>
                <w:highlight w:val="none"/>
              </w:rPr>
            </w:pPr>
          </w:p>
          <w:p>
            <w:pPr>
              <w:pStyle w:val="39"/>
              <w:kinsoku w:val="0"/>
              <w:overflowPunct w:val="0"/>
              <w:outlineLvl w:val="9"/>
              <w:rPr>
                <w:rFonts w:hint="eastAsia" w:ascii="仿宋" w:hAnsi="仿宋" w:eastAsia="仿宋" w:cs="仿宋"/>
                <w:b/>
                <w:bCs/>
                <w:color w:val="auto"/>
                <w:highlight w:val="none"/>
              </w:rPr>
            </w:pPr>
          </w:p>
          <w:p>
            <w:pPr>
              <w:pStyle w:val="39"/>
              <w:kinsoku w:val="0"/>
              <w:overflowPunct w:val="0"/>
              <w:spacing w:line="475" w:lineRule="auto"/>
              <w:ind w:left="497" w:right="493"/>
              <w:jc w:val="both"/>
              <w:outlineLvl w:val="9"/>
              <w:rPr>
                <w:rFonts w:hint="eastAsia" w:ascii="仿宋" w:hAnsi="仿宋" w:eastAsia="仿宋" w:cs="仿宋"/>
                <w:color w:val="auto"/>
                <w:highlight w:val="none"/>
              </w:rPr>
            </w:pPr>
            <w:r>
              <w:rPr>
                <w:rFonts w:hint="eastAsia" w:ascii="仿宋" w:hAnsi="仿宋" w:eastAsia="仿宋" w:cs="仿宋"/>
                <w:color w:val="auto"/>
                <w:highlight w:val="none"/>
              </w:rPr>
              <w:t>职 工 概 况</w:t>
            </w: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4"/>
              <w:ind w:left="236"/>
              <w:outlineLvl w:val="9"/>
              <w:rPr>
                <w:rFonts w:hint="eastAsia" w:ascii="仿宋" w:hAnsi="仿宋" w:eastAsia="仿宋" w:cs="仿宋"/>
                <w:color w:val="auto"/>
                <w:highlight w:val="none"/>
              </w:rPr>
            </w:pPr>
            <w:r>
              <w:rPr>
                <w:rFonts w:hint="eastAsia" w:ascii="仿宋" w:hAnsi="仿宋" w:eastAsia="仿宋" w:cs="仿宋"/>
                <w:color w:val="auto"/>
                <w:highlight w:val="none"/>
              </w:rPr>
              <w:t>职工总数</w:t>
            </w:r>
          </w:p>
        </w:tc>
        <w:tc>
          <w:tcPr>
            <w:tcW w:w="1342"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2168" w:type="dxa"/>
            <w:gridSpan w:val="4"/>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4"/>
              <w:ind w:left="118"/>
              <w:outlineLvl w:val="9"/>
              <w:rPr>
                <w:rFonts w:hint="eastAsia" w:ascii="仿宋" w:hAnsi="仿宋" w:eastAsia="仿宋" w:cs="仿宋"/>
                <w:color w:val="auto"/>
                <w:highlight w:val="none"/>
              </w:rPr>
            </w:pPr>
            <w:r>
              <w:rPr>
                <w:rFonts w:hint="eastAsia" w:ascii="仿宋" w:hAnsi="仿宋" w:eastAsia="仿宋" w:cs="仿宋"/>
                <w:color w:val="auto"/>
                <w:highlight w:val="none"/>
              </w:rPr>
              <w:t>其中：技术人员数</w:t>
            </w: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69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单位行政和技术负责人</w:t>
            </w:r>
          </w:p>
        </w:tc>
      </w:tr>
      <w:tr>
        <w:tblPrEx>
          <w:tblCellMar>
            <w:top w:w="0" w:type="dxa"/>
            <w:left w:w="0" w:type="dxa"/>
            <w:bottom w:w="0" w:type="dxa"/>
            <w:right w:w="0" w:type="dxa"/>
          </w:tblCellMar>
        </w:tblPrEx>
        <w:trPr>
          <w:trHeight w:val="69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jc w:val="center"/>
              <w:outlineLvl w:val="9"/>
              <w:rPr>
                <w:rFonts w:hint="eastAsia" w:ascii="仿宋" w:hAnsi="仿宋" w:eastAsia="仿宋" w:cs="仿宋"/>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416"/>
              <w:outlineLvl w:val="9"/>
              <w:rPr>
                <w:rFonts w:hint="eastAsia" w:ascii="仿宋" w:hAnsi="仿宋" w:eastAsia="仿宋" w:cs="仿宋"/>
                <w:color w:val="auto"/>
                <w:highlight w:val="none"/>
              </w:rPr>
            </w:pPr>
            <w:r>
              <w:rPr>
                <w:rFonts w:hint="eastAsia" w:ascii="仿宋" w:hAnsi="仿宋" w:eastAsia="仿宋" w:cs="仿宋"/>
                <w:color w:val="auto"/>
                <w:highlight w:val="none"/>
              </w:rPr>
              <w:t>姓 名</w:t>
            </w: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452"/>
              <w:outlineLvl w:val="9"/>
              <w:rPr>
                <w:rFonts w:hint="eastAsia" w:ascii="仿宋" w:hAnsi="仿宋" w:eastAsia="仿宋" w:cs="仿宋"/>
                <w:color w:val="auto"/>
                <w:highlight w:val="none"/>
              </w:rPr>
            </w:pPr>
            <w:r>
              <w:rPr>
                <w:rFonts w:hint="eastAsia" w:ascii="仿宋" w:hAnsi="仿宋" w:eastAsia="仿宋" w:cs="仿宋"/>
                <w:color w:val="auto"/>
                <w:highlight w:val="none"/>
              </w:rPr>
              <w:t>职务/职称</w:t>
            </w: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450"/>
              <w:outlineLvl w:val="9"/>
              <w:rPr>
                <w:rFonts w:hint="eastAsia" w:ascii="仿宋" w:hAnsi="仿宋" w:eastAsia="仿宋" w:cs="仿宋"/>
                <w:color w:val="auto"/>
                <w:highlight w:val="none"/>
              </w:rPr>
            </w:pPr>
            <w:r>
              <w:rPr>
                <w:rFonts w:hint="eastAsia" w:ascii="仿宋" w:hAnsi="仿宋" w:eastAsia="仿宋" w:cs="仿宋"/>
                <w:color w:val="auto"/>
                <w:highlight w:val="none"/>
              </w:rPr>
              <w:t>年 龄</w:t>
            </w: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pStyle w:val="39"/>
              <w:tabs>
                <w:tab w:val="left" w:pos="479"/>
              </w:tabs>
              <w:kinsoku w:val="0"/>
              <w:overflowPunct w:val="0"/>
              <w:spacing w:before="145"/>
              <w:ind w:right="1"/>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专</w:t>
            </w:r>
            <w:r>
              <w:rPr>
                <w:rFonts w:hint="eastAsia" w:ascii="仿宋" w:hAnsi="仿宋" w:eastAsia="仿宋" w:cs="仿宋"/>
                <w:color w:val="auto"/>
                <w:highlight w:val="none"/>
              </w:rPr>
              <w:tab/>
            </w:r>
            <w:r>
              <w:rPr>
                <w:rFonts w:hint="eastAsia" w:ascii="仿宋" w:hAnsi="仿宋" w:eastAsia="仿宋" w:cs="仿宋"/>
                <w:color w:val="auto"/>
                <w:highlight w:val="none"/>
              </w:rPr>
              <w:t>业</w:t>
            </w:r>
          </w:p>
        </w:tc>
      </w:tr>
      <w:tr>
        <w:tblPrEx>
          <w:tblCellMar>
            <w:top w:w="0" w:type="dxa"/>
            <w:left w:w="0" w:type="dxa"/>
            <w:bottom w:w="0" w:type="dxa"/>
            <w:right w:w="0" w:type="dxa"/>
          </w:tblCellMar>
        </w:tblPrEx>
        <w:trPr>
          <w:trHeight w:val="425"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pStyle w:val="39"/>
              <w:tabs>
                <w:tab w:val="left" w:pos="479"/>
              </w:tabs>
              <w:kinsoku w:val="0"/>
              <w:overflowPunct w:val="0"/>
              <w:spacing w:before="145"/>
              <w:ind w:right="1"/>
              <w:jc w:val="center"/>
              <w:outlineLvl w:val="9"/>
              <w:rPr>
                <w:rFonts w:hint="eastAsia" w:ascii="仿宋" w:hAnsi="仿宋" w:eastAsia="仿宋" w:cs="仿宋"/>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37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439"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1620"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
              <w:outlineLvl w:val="9"/>
              <w:rPr>
                <w:rFonts w:hint="eastAsia" w:ascii="仿宋" w:hAnsi="仿宋" w:eastAsia="仿宋" w:cs="仿宋"/>
                <w:b/>
                <w:bCs/>
                <w:color w:val="auto"/>
                <w:sz w:val="23"/>
                <w:szCs w:val="23"/>
                <w:highlight w:val="none"/>
              </w:rPr>
            </w:pPr>
          </w:p>
          <w:p>
            <w:pPr>
              <w:pStyle w:val="39"/>
              <w:kinsoku w:val="0"/>
              <w:overflowPunct w:val="0"/>
              <w:spacing w:line="237" w:lineRule="auto"/>
              <w:ind w:left="497" w:right="493"/>
              <w:jc w:val="both"/>
              <w:outlineLvl w:val="9"/>
              <w:rPr>
                <w:rFonts w:hint="eastAsia" w:ascii="仿宋" w:hAnsi="仿宋" w:eastAsia="仿宋" w:cs="仿宋"/>
                <w:color w:val="auto"/>
                <w:highlight w:val="none"/>
              </w:rPr>
            </w:pPr>
            <w:r>
              <w:rPr>
                <w:rFonts w:hint="eastAsia" w:ascii="仿宋" w:hAnsi="仿宋" w:eastAsia="仿宋" w:cs="仿宋"/>
                <w:color w:val="auto"/>
                <w:highlight w:val="none"/>
              </w:rPr>
              <w:t>单 位 概 况</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bl>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b/>
          <w:color w:val="auto"/>
          <w:sz w:val="30"/>
          <w:szCs w:val="30"/>
          <w:highlight w:val="none"/>
        </w:rPr>
      </w:pPr>
    </w:p>
    <w:p>
      <w:pPr>
        <w:pStyle w:val="9"/>
        <w:numPr>
          <w:ilvl w:val="0"/>
          <w:numId w:val="0"/>
        </w:numPr>
        <w:kinsoku w:val="0"/>
        <w:overflowPunct w:val="0"/>
        <w:spacing w:before="34" w:line="357" w:lineRule="auto"/>
        <w:ind w:left="480" w:leftChars="0" w:right="126" w:rightChars="0"/>
        <w:jc w:val="center"/>
        <w:outlineLvl w:val="9"/>
        <w:rPr>
          <w:rFonts w:hint="eastAsia" w:ascii="仿宋" w:hAnsi="仿宋" w:eastAsia="仿宋" w:cs="仿宋"/>
          <w:b/>
          <w:bCs/>
          <w:color w:val="auto"/>
          <w:w w:val="90"/>
          <w:highlight w:val="none"/>
          <w:lang w:eastAsia="zh-CN"/>
        </w:rPr>
      </w:pPr>
      <w:r>
        <w:rPr>
          <w:rFonts w:hint="eastAsia" w:ascii="仿宋" w:hAnsi="仿宋" w:eastAsia="仿宋" w:cs="仿宋"/>
          <w:b w:val="0"/>
          <w:bCs/>
          <w:color w:val="auto"/>
          <w:kern w:val="0"/>
          <w:sz w:val="36"/>
          <w:szCs w:val="36"/>
          <w:highlight w:val="none"/>
          <w:lang w:val="en-US" w:eastAsia="zh-CN"/>
        </w:rPr>
        <w:t>8、</w:t>
      </w:r>
      <w:r>
        <w:rPr>
          <w:rFonts w:hint="eastAsia" w:ascii="仿宋" w:hAnsi="仿宋" w:eastAsia="仿宋" w:cs="仿宋"/>
          <w:b/>
          <w:bCs/>
          <w:color w:val="auto"/>
          <w:w w:val="90"/>
          <w:sz w:val="36"/>
          <w:szCs w:val="36"/>
          <w:highlight w:val="none"/>
        </w:rPr>
        <w:t>近三年（20</w:t>
      </w:r>
      <w:r>
        <w:rPr>
          <w:rFonts w:hint="eastAsia" w:ascii="仿宋" w:hAnsi="仿宋" w:eastAsia="仿宋" w:cs="仿宋"/>
          <w:b/>
          <w:bCs/>
          <w:color w:val="auto"/>
          <w:w w:val="90"/>
          <w:sz w:val="36"/>
          <w:szCs w:val="36"/>
          <w:highlight w:val="none"/>
          <w:lang w:val="en-US" w:eastAsia="zh-CN"/>
        </w:rPr>
        <w:t>19</w:t>
      </w:r>
      <w:r>
        <w:rPr>
          <w:rFonts w:hint="eastAsia" w:ascii="仿宋" w:hAnsi="仿宋" w:eastAsia="仿宋" w:cs="仿宋"/>
          <w:b/>
          <w:bCs/>
          <w:color w:val="auto"/>
          <w:w w:val="90"/>
          <w:sz w:val="36"/>
          <w:szCs w:val="36"/>
          <w:highlight w:val="none"/>
        </w:rPr>
        <w:t>年1月1日至今）类似项目业绩</w:t>
      </w:r>
      <w:r>
        <w:rPr>
          <w:rFonts w:hint="eastAsia" w:ascii="仿宋" w:hAnsi="仿宋" w:eastAsia="仿宋" w:cs="仿宋"/>
          <w:b/>
          <w:bCs/>
          <w:color w:val="auto"/>
          <w:w w:val="90"/>
          <w:sz w:val="36"/>
          <w:szCs w:val="36"/>
          <w:highlight w:val="none"/>
          <w:lang w:eastAsia="zh-CN"/>
        </w:rPr>
        <w:t>表</w:t>
      </w:r>
    </w:p>
    <w:p>
      <w:pPr>
        <w:pStyle w:val="9"/>
        <w:numPr>
          <w:ilvl w:val="0"/>
          <w:numId w:val="0"/>
        </w:numPr>
        <w:kinsoku w:val="0"/>
        <w:overflowPunct w:val="0"/>
        <w:ind w:leftChars="0" w:right="0" w:rightChars="0"/>
        <w:outlineLvl w:val="9"/>
        <w:rPr>
          <w:rFonts w:hint="eastAsia" w:ascii="仿宋" w:hAnsi="仿宋" w:eastAsia="仿宋" w:cs="仿宋"/>
          <w:b/>
          <w:bCs/>
          <w:color w:val="auto"/>
          <w:sz w:val="20"/>
          <w:szCs w:val="20"/>
          <w:highlight w:val="none"/>
        </w:rPr>
      </w:pPr>
    </w:p>
    <w:tbl>
      <w:tblPr>
        <w:tblStyle w:val="24"/>
        <w:tblW w:w="9115" w:type="dxa"/>
        <w:jc w:val="center"/>
        <w:shd w:val="clear" w:color="auto" w:fill="auto"/>
        <w:tblLayout w:type="fixed"/>
        <w:tblCellMar>
          <w:top w:w="0" w:type="dxa"/>
          <w:left w:w="10" w:type="dxa"/>
          <w:bottom w:w="0" w:type="dxa"/>
          <w:right w:w="10" w:type="dxa"/>
        </w:tblCellMar>
      </w:tblPr>
      <w:tblGrid>
        <w:gridCol w:w="1919"/>
        <w:gridCol w:w="7196"/>
      </w:tblGrid>
      <w:tr>
        <w:tblPrEx>
          <w:shd w:val="clear" w:color="auto" w:fill="auto"/>
          <w:tblCellMar>
            <w:top w:w="0" w:type="dxa"/>
            <w:left w:w="10" w:type="dxa"/>
            <w:bottom w:w="0" w:type="dxa"/>
            <w:right w:w="10" w:type="dxa"/>
          </w:tblCellMar>
        </w:tblPrEx>
        <w:trPr>
          <w:trHeight w:val="511"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0" w:after="0" w:line="240" w:lineRule="auto"/>
              <w:ind w:left="0" w:right="0" w:firstLine="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项目名称</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shd w:val="clear" w:color="auto" w:fill="auto"/>
          <w:tblCellMar>
            <w:top w:w="0" w:type="dxa"/>
            <w:left w:w="10" w:type="dxa"/>
            <w:bottom w:w="0" w:type="dxa"/>
            <w:right w:w="10" w:type="dxa"/>
          </w:tblCellMar>
        </w:tblPrEx>
        <w:trPr>
          <w:trHeight w:val="518"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120" w:after="0" w:line="240" w:lineRule="auto"/>
              <w:ind w:left="0" w:leftChars="0" w:right="0" w:firstLine="0" w:firstLineChars="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项目单位名称</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tblCellMar>
            <w:top w:w="0" w:type="dxa"/>
            <w:left w:w="10" w:type="dxa"/>
            <w:bottom w:w="0" w:type="dxa"/>
            <w:right w:w="10" w:type="dxa"/>
          </w:tblCellMar>
        </w:tblPrEx>
        <w:trPr>
          <w:trHeight w:val="724"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0" w:after="0" w:line="320" w:lineRule="exact"/>
              <w:ind w:left="0" w:right="0" w:firstLine="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项目单位联系姓名及联系方式</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tblCellMar>
            <w:top w:w="0" w:type="dxa"/>
            <w:left w:w="10" w:type="dxa"/>
            <w:bottom w:w="0" w:type="dxa"/>
            <w:right w:w="10" w:type="dxa"/>
          </w:tblCellMar>
        </w:tblPrEx>
        <w:trPr>
          <w:trHeight w:val="634"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0" w:after="0" w:line="240" w:lineRule="auto"/>
              <w:ind w:left="0" w:right="0" w:firstLine="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合同金额</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tblCellMar>
            <w:top w:w="0" w:type="dxa"/>
            <w:left w:w="10" w:type="dxa"/>
            <w:bottom w:w="0" w:type="dxa"/>
            <w:right w:w="10" w:type="dxa"/>
          </w:tblCellMar>
        </w:tblPrEx>
        <w:trPr>
          <w:trHeight w:val="637"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0" w:after="0" w:line="306" w:lineRule="exact"/>
              <w:ind w:left="0" w:right="0" w:firstLine="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项目负责人姓名</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tblCellMar>
            <w:top w:w="0" w:type="dxa"/>
            <w:left w:w="10" w:type="dxa"/>
            <w:bottom w:w="0" w:type="dxa"/>
            <w:right w:w="10" w:type="dxa"/>
          </w:tblCellMar>
        </w:tblPrEx>
        <w:trPr>
          <w:trHeight w:val="482"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120" w:after="0" w:line="240" w:lineRule="auto"/>
              <w:ind w:left="0" w:leftChars="0" w:right="0" w:firstLine="0" w:firstLineChars="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项目实施时间</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tblCellMar>
            <w:top w:w="0" w:type="dxa"/>
            <w:left w:w="10" w:type="dxa"/>
            <w:bottom w:w="0" w:type="dxa"/>
            <w:right w:w="10" w:type="dxa"/>
          </w:tblCellMar>
        </w:tblPrEx>
        <w:trPr>
          <w:trHeight w:val="1699" w:hRule="exact"/>
          <w:jc w:val="center"/>
        </w:trPr>
        <w:tc>
          <w:tcPr>
            <w:tcW w:w="1919" w:type="dxa"/>
            <w:tcBorders>
              <w:top w:val="single" w:color="auto" w:sz="4" w:space="0"/>
              <w:left w:val="single" w:color="auto" w:sz="4" w:space="0"/>
              <w:bottom w:val="single" w:color="auto" w:sz="4" w:space="0"/>
            </w:tcBorders>
            <w:shd w:val="clear" w:color="auto" w:fill="auto"/>
            <w:vAlign w:val="center"/>
          </w:tcPr>
          <w:p>
            <w:pPr>
              <w:pStyle w:val="37"/>
              <w:keepNext w:val="0"/>
              <w:keepLines w:val="0"/>
              <w:widowControl w:val="0"/>
              <w:shd w:val="clear" w:color="auto" w:fill="auto"/>
              <w:bidi w:val="0"/>
              <w:spacing w:before="0" w:after="0" w:line="240" w:lineRule="auto"/>
              <w:ind w:left="0" w:leftChars="0" w:right="0" w:firstLine="0" w:firstLineChars="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项目内容说明</w:t>
            </w:r>
          </w:p>
        </w:tc>
        <w:tc>
          <w:tcPr>
            <w:tcW w:w="7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bl>
    <w:p>
      <w:pPr>
        <w:outlineLvl w:val="9"/>
        <w:rPr>
          <w:rFonts w:hint="eastAsia" w:ascii="仿宋" w:hAnsi="仿宋" w:eastAsia="仿宋" w:cs="仿宋"/>
          <w:color w:val="auto"/>
          <w:spacing w:val="-1"/>
          <w:kern w:val="0"/>
          <w:sz w:val="24"/>
          <w:highlight w:val="none"/>
        </w:rPr>
      </w:pPr>
    </w:p>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注：每个</w:t>
      </w:r>
      <w:r>
        <w:rPr>
          <w:rFonts w:hint="eastAsia" w:ascii="仿宋" w:hAnsi="仿宋" w:eastAsia="仿宋" w:cs="仿宋"/>
          <w:color w:val="auto"/>
          <w:spacing w:val="-1"/>
          <w:kern w:val="0"/>
          <w:sz w:val="24"/>
          <w:highlight w:val="none"/>
          <w:lang w:eastAsia="zh-CN"/>
        </w:rPr>
        <w:t>业绩</w:t>
      </w:r>
      <w:r>
        <w:rPr>
          <w:rFonts w:hint="eastAsia" w:ascii="仿宋" w:hAnsi="仿宋" w:eastAsia="仿宋" w:cs="仿宋"/>
          <w:color w:val="auto"/>
          <w:spacing w:val="-1"/>
          <w:kern w:val="0"/>
          <w:sz w:val="24"/>
          <w:highlight w:val="none"/>
        </w:rPr>
        <w:t>须单独附表，并附上</w:t>
      </w:r>
      <w:r>
        <w:rPr>
          <w:rFonts w:hint="eastAsia" w:ascii="仿宋" w:hAnsi="仿宋" w:eastAsia="仿宋" w:cs="仿宋"/>
          <w:color w:val="auto"/>
          <w:spacing w:val="-1"/>
          <w:kern w:val="0"/>
          <w:sz w:val="24"/>
          <w:highlight w:val="none"/>
          <w:lang w:eastAsia="zh-CN"/>
        </w:rPr>
        <w:t>合同和中标通知书</w:t>
      </w:r>
      <w:r>
        <w:rPr>
          <w:rFonts w:hint="eastAsia" w:ascii="仿宋" w:hAnsi="仿宋" w:eastAsia="仿宋" w:cs="仿宋"/>
          <w:color w:val="auto"/>
          <w:spacing w:val="-1"/>
          <w:kern w:val="0"/>
          <w:sz w:val="24"/>
          <w:highlight w:val="none"/>
        </w:rPr>
        <w:t>相关证明材料，否则专家在评审时将不予采信。</w:t>
      </w: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w w:val="95"/>
          <w:sz w:val="24"/>
          <w:szCs w:val="24"/>
          <w:highlight w:val="none"/>
        </w:rPr>
        <w:t>（盖章）</w:t>
      </w:r>
      <w:r>
        <w:rPr>
          <w:rFonts w:hint="eastAsia" w:ascii="仿宋" w:hAnsi="仿宋" w:eastAsia="仿宋" w:cs="仿宋"/>
          <w:color w:val="auto"/>
          <w:sz w:val="24"/>
          <w:szCs w:val="24"/>
          <w:highlight w:val="none"/>
        </w:rPr>
        <w:t xml:space="preserve"> </w:t>
      </w: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w w:val="95"/>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w w:val="95"/>
          <w:sz w:val="24"/>
          <w:szCs w:val="24"/>
          <w:highlight w:val="none"/>
          <w:lang w:eastAsia="zh-CN"/>
        </w:rPr>
        <w:t>签字或盖章</w:t>
      </w:r>
      <w:r>
        <w:rPr>
          <w:rFonts w:hint="eastAsia" w:ascii="仿宋" w:hAnsi="仿宋" w:eastAsia="仿宋" w:cs="仿宋"/>
          <w:color w:val="auto"/>
          <w:w w:val="95"/>
          <w:sz w:val="24"/>
          <w:szCs w:val="24"/>
          <w:highlight w:val="none"/>
        </w:rPr>
        <w:t>）</w:t>
      </w:r>
    </w:p>
    <w:p>
      <w:pPr>
        <w:pStyle w:val="9"/>
        <w:numPr>
          <w:ilvl w:val="0"/>
          <w:numId w:val="0"/>
        </w:numPr>
        <w:tabs>
          <w:tab w:val="left" w:pos="5551"/>
          <w:tab w:val="left" w:pos="6511"/>
          <w:tab w:val="left" w:pos="7111"/>
          <w:tab w:val="left" w:pos="7711"/>
        </w:tabs>
        <w:kinsoku w:val="0"/>
        <w:overflowPunct w:val="0"/>
        <w:spacing w:before="46"/>
        <w:ind w:right="0" w:rightChars="0" w:firstLine="4410" w:firstLineChars="18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日</w:t>
      </w:r>
    </w:p>
    <w:p>
      <w:pPr>
        <w:pStyle w:val="35"/>
        <w:keepNext w:val="0"/>
        <w:keepLines w:val="0"/>
        <w:widowControl w:val="0"/>
        <w:shd w:val="clear" w:color="auto" w:fill="auto"/>
        <w:bidi w:val="0"/>
        <w:spacing w:before="0" w:after="580" w:line="240" w:lineRule="auto"/>
        <w:ind w:left="0" w:right="0" w:firstLine="360"/>
        <w:jc w:val="left"/>
        <w:outlineLvl w:val="9"/>
        <w:rPr>
          <w:rFonts w:hint="eastAsia" w:ascii="仿宋" w:hAnsi="仿宋" w:eastAsia="仿宋" w:cs="仿宋"/>
          <w:color w:val="auto"/>
          <w:spacing w:val="0"/>
          <w:w w:val="100"/>
          <w:position w:val="0"/>
          <w:highlight w:val="none"/>
        </w:rPr>
      </w:pPr>
    </w:p>
    <w:p>
      <w:pPr>
        <w:shd w:val="clear" w:color="auto" w:fill="auto"/>
        <w:spacing w:line="360" w:lineRule="auto"/>
        <w:jc w:val="center"/>
        <w:outlineLvl w:val="9"/>
        <w:rPr>
          <w:rFonts w:hint="eastAsia" w:ascii="仿宋" w:hAnsi="仿宋" w:eastAsia="仿宋" w:cs="仿宋"/>
          <w:b w:val="0"/>
          <w:bCs/>
          <w:color w:val="auto"/>
          <w:kern w:val="0"/>
          <w:sz w:val="36"/>
          <w:szCs w:val="36"/>
          <w:highlight w:val="none"/>
          <w:lang w:val="en-US" w:eastAsia="zh-CN"/>
        </w:rPr>
      </w:pPr>
    </w:p>
    <w:p>
      <w:pPr>
        <w:shd w:val="clear" w:color="auto" w:fill="auto"/>
        <w:spacing w:line="360" w:lineRule="auto"/>
        <w:jc w:val="center"/>
        <w:outlineLvl w:val="9"/>
        <w:rPr>
          <w:rFonts w:hint="eastAsia" w:ascii="仿宋" w:hAnsi="仿宋" w:eastAsia="仿宋" w:cs="仿宋"/>
          <w:b w:val="0"/>
          <w:bCs/>
          <w:color w:val="auto"/>
          <w:kern w:val="0"/>
          <w:sz w:val="36"/>
          <w:szCs w:val="36"/>
          <w:highlight w:val="none"/>
          <w:lang w:val="en-US" w:eastAsia="zh-CN"/>
        </w:rPr>
      </w:pPr>
    </w:p>
    <w:p>
      <w:pPr>
        <w:shd w:val="clear" w:color="auto" w:fill="auto"/>
        <w:spacing w:line="360" w:lineRule="auto"/>
        <w:jc w:val="center"/>
        <w:outlineLvl w:val="9"/>
        <w:rPr>
          <w:rFonts w:hint="eastAsia" w:ascii="仿宋" w:hAnsi="仿宋" w:eastAsia="仿宋" w:cs="仿宋"/>
          <w:b w:val="0"/>
          <w:bCs/>
          <w:color w:val="auto"/>
          <w:kern w:val="0"/>
          <w:sz w:val="36"/>
          <w:szCs w:val="36"/>
          <w:highlight w:val="none"/>
          <w:lang w:val="en-US" w:eastAsia="zh-CN"/>
        </w:rPr>
      </w:pPr>
    </w:p>
    <w:p>
      <w:pPr>
        <w:shd w:val="clear" w:color="auto" w:fill="auto"/>
        <w:spacing w:line="360" w:lineRule="auto"/>
        <w:jc w:val="center"/>
        <w:outlineLvl w:val="9"/>
        <w:rPr>
          <w:rFonts w:hint="eastAsia" w:ascii="仿宋" w:hAnsi="仿宋" w:eastAsia="仿宋" w:cs="仿宋"/>
          <w:b/>
          <w:bCs w:val="0"/>
          <w:color w:val="auto"/>
          <w:kern w:val="0"/>
          <w:sz w:val="36"/>
          <w:szCs w:val="36"/>
          <w:highlight w:val="none"/>
        </w:rPr>
      </w:pPr>
      <w:r>
        <w:rPr>
          <w:rFonts w:hint="eastAsia" w:ascii="仿宋" w:hAnsi="仿宋" w:eastAsia="仿宋" w:cs="仿宋"/>
          <w:b/>
          <w:bCs w:val="0"/>
          <w:color w:val="auto"/>
          <w:kern w:val="0"/>
          <w:sz w:val="36"/>
          <w:szCs w:val="36"/>
          <w:highlight w:val="none"/>
          <w:lang w:val="en-US" w:eastAsia="zh-CN"/>
        </w:rPr>
        <w:t>9</w:t>
      </w:r>
      <w:r>
        <w:rPr>
          <w:rFonts w:hint="eastAsia" w:ascii="仿宋" w:hAnsi="仿宋" w:eastAsia="仿宋" w:cs="仿宋"/>
          <w:b/>
          <w:bCs w:val="0"/>
          <w:color w:val="auto"/>
          <w:kern w:val="0"/>
          <w:sz w:val="36"/>
          <w:szCs w:val="36"/>
          <w:highlight w:val="none"/>
        </w:rPr>
        <w:t>、中小企业声明函(</w:t>
      </w:r>
      <w:r>
        <w:rPr>
          <w:rFonts w:hint="eastAsia" w:ascii="仿宋" w:hAnsi="仿宋" w:eastAsia="仿宋" w:cs="仿宋"/>
          <w:b/>
          <w:bCs w:val="0"/>
          <w:color w:val="auto"/>
          <w:kern w:val="0"/>
          <w:sz w:val="36"/>
          <w:szCs w:val="36"/>
          <w:highlight w:val="none"/>
          <w:lang w:eastAsia="zh-CN"/>
        </w:rPr>
        <w:t>货物</w:t>
      </w:r>
      <w:r>
        <w:rPr>
          <w:rFonts w:hint="eastAsia" w:ascii="仿宋" w:hAnsi="仿宋" w:eastAsia="仿宋" w:cs="仿宋"/>
          <w:b/>
          <w:bCs w:val="0"/>
          <w:color w:val="auto"/>
          <w:kern w:val="0"/>
          <w:sz w:val="36"/>
          <w:szCs w:val="36"/>
          <w:highlight w:val="none"/>
        </w:rPr>
        <w:t>)</w:t>
      </w:r>
    </w:p>
    <w:p>
      <w:pPr>
        <w:ind w:left="1280"/>
        <w:outlineLvl w:val="9"/>
        <w:rPr>
          <w:rFonts w:hint="eastAsia" w:ascii="仿宋" w:hAnsi="仿宋" w:eastAsia="仿宋" w:cs="仿宋"/>
          <w:color w:val="auto"/>
          <w:sz w:val="32"/>
          <w:szCs w:val="32"/>
          <w:highlight w:val="none"/>
        </w:rPr>
      </w:pP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公司（联合体）郑重声明，根据《政府采购促进中小企业发展管理办法》（财库[2020]46号）的规定，本公司（联合体）参加（单位名称）的（项目名称）采购活动，提供的货物全部由符合政策要求的中小企业制造。相关企业（含联合体中的中小企业、签订分包意向协议的中小企业）的具体情况如下：</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1.（标的名称），属于（采购文件中明确的所属行业）；制造商为（企业名称），从业人员  人，营业收入为  万元，资产总额为  万元，属于（中型企业、小型企业、微型企业）；</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 （标的名称），属于（采购文件中明确的所属行业）；制造商为（企业名称），从业人员  人，营业收入为  万元，资产总额为  万元，属于（中型企业、小型企业、微型企业）；</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以上企业，不属于大企业的分支机构，不存在控股股东为大企业的情形，也不存在与大企业的负责人为同一人的情形。</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本企业对上述声明内容的真实性负责。如有虚假，将依法承担相应责任。</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p>
    <w:p>
      <w:pPr>
        <w:shd w:val="clear" w:color="auto" w:fill="auto"/>
        <w:spacing w:line="360" w:lineRule="auto"/>
        <w:ind w:firstLine="4655" w:firstLineChars="19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企业名称（盖章）：</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 xml:space="preserve"> 日期：</w:t>
      </w: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tabs>
          <w:tab w:val="left" w:pos="3600"/>
        </w:tabs>
        <w:adjustRightInd w:val="0"/>
        <w:snapToGrid w:val="0"/>
        <w:spacing w:line="440" w:lineRule="exact"/>
        <w:jc w:val="center"/>
        <w:outlineLvl w:val="9"/>
        <w:rPr>
          <w:rFonts w:hint="eastAsia" w:ascii="仿宋" w:hAnsi="仿宋" w:eastAsia="仿宋" w:cs="仿宋"/>
          <w:color w:val="auto"/>
          <w:spacing w:val="0"/>
          <w:w w:val="100"/>
          <w:position w:val="0"/>
          <w:sz w:val="36"/>
          <w:szCs w:val="36"/>
          <w:highlight w:val="none"/>
          <w:lang w:val="en-US" w:eastAsia="zh-CN"/>
        </w:rPr>
      </w:pPr>
    </w:p>
    <w:p>
      <w:pPr>
        <w:tabs>
          <w:tab w:val="left" w:pos="3600"/>
        </w:tabs>
        <w:adjustRightInd w:val="0"/>
        <w:snapToGrid w:val="0"/>
        <w:spacing w:line="440" w:lineRule="exact"/>
        <w:jc w:val="center"/>
        <w:outlineLvl w:val="9"/>
        <w:rPr>
          <w:rFonts w:hint="eastAsia" w:ascii="仿宋" w:hAnsi="仿宋" w:eastAsia="仿宋" w:cs="仿宋"/>
          <w:b/>
          <w:bCs/>
          <w:color w:val="auto"/>
          <w:spacing w:val="6"/>
          <w:kern w:val="0"/>
          <w:sz w:val="36"/>
          <w:szCs w:val="36"/>
          <w:highlight w:val="none"/>
        </w:rPr>
      </w:pPr>
      <w:r>
        <w:rPr>
          <w:rFonts w:hint="eastAsia" w:ascii="仿宋" w:hAnsi="仿宋" w:eastAsia="仿宋" w:cs="仿宋"/>
          <w:color w:val="auto"/>
          <w:spacing w:val="0"/>
          <w:w w:val="100"/>
          <w:position w:val="0"/>
          <w:sz w:val="36"/>
          <w:szCs w:val="36"/>
          <w:highlight w:val="none"/>
          <w:lang w:val="en-US" w:eastAsia="zh-CN"/>
        </w:rPr>
        <w:t>10</w:t>
      </w:r>
      <w:r>
        <w:rPr>
          <w:rFonts w:hint="eastAsia" w:ascii="仿宋" w:hAnsi="仿宋" w:eastAsia="仿宋" w:cs="仿宋"/>
          <w:color w:val="auto"/>
          <w:spacing w:val="0"/>
          <w:w w:val="100"/>
          <w:position w:val="0"/>
          <w:sz w:val="36"/>
          <w:szCs w:val="36"/>
          <w:highlight w:val="none"/>
          <w:lang w:eastAsia="zh-CN"/>
        </w:rPr>
        <w:t>、</w:t>
      </w:r>
      <w:r>
        <w:rPr>
          <w:rFonts w:hint="eastAsia" w:ascii="仿宋" w:hAnsi="仿宋" w:eastAsia="仿宋" w:cs="仿宋"/>
          <w:b/>
          <w:bCs/>
          <w:color w:val="auto"/>
          <w:spacing w:val="6"/>
          <w:kern w:val="0"/>
          <w:sz w:val="36"/>
          <w:szCs w:val="36"/>
          <w:highlight w:val="none"/>
        </w:rPr>
        <w:t>残疾人福利性单位声明函</w:t>
      </w:r>
    </w:p>
    <w:p>
      <w:pPr>
        <w:widowControl/>
        <w:adjustRightInd w:val="0"/>
        <w:snapToGrid w:val="0"/>
        <w:spacing w:line="440" w:lineRule="exact"/>
        <w:ind w:firstLine="514" w:firstLineChars="200"/>
        <w:jc w:val="left"/>
        <w:outlineLvl w:val="9"/>
        <w:rPr>
          <w:rFonts w:hint="eastAsia" w:ascii="仿宋" w:hAnsi="仿宋" w:eastAsia="仿宋" w:cs="仿宋"/>
          <w:color w:val="auto"/>
          <w:spacing w:val="6"/>
          <w:kern w:val="0"/>
          <w:sz w:val="24"/>
          <w:szCs w:val="24"/>
          <w:highlight w:val="none"/>
        </w:rPr>
      </w:pPr>
    </w:p>
    <w:p>
      <w:pPr>
        <w:widowControl/>
        <w:adjustRightInd w:val="0"/>
        <w:snapToGrid w:val="0"/>
        <w:spacing w:line="440" w:lineRule="exact"/>
        <w:ind w:firstLine="514" w:firstLineChars="200"/>
        <w:jc w:val="left"/>
        <w:outlineLvl w:val="9"/>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widowControl/>
        <w:adjustRightInd w:val="0"/>
        <w:snapToGrid w:val="0"/>
        <w:spacing w:line="440" w:lineRule="exact"/>
        <w:ind w:firstLine="514" w:firstLineChars="200"/>
        <w:jc w:val="left"/>
        <w:outlineLvl w:val="9"/>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t>本单位对上述声明的真实性负责。如有虚假，将依法承担相应责任。</w:t>
      </w:r>
    </w:p>
    <w:p>
      <w:pPr>
        <w:widowControl/>
        <w:adjustRightInd w:val="0"/>
        <w:snapToGrid w:val="0"/>
        <w:spacing w:line="440" w:lineRule="exact"/>
        <w:ind w:firstLine="514" w:firstLineChars="200"/>
        <w:jc w:val="left"/>
        <w:outlineLvl w:val="9"/>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t xml:space="preserve">                                     </w:t>
      </w:r>
    </w:p>
    <w:p>
      <w:pPr>
        <w:widowControl/>
        <w:adjustRightInd w:val="0"/>
        <w:snapToGrid w:val="0"/>
        <w:spacing w:line="440" w:lineRule="exact"/>
        <w:ind w:firstLine="5654" w:firstLineChars="2200"/>
        <w:jc w:val="left"/>
        <w:outlineLvl w:val="9"/>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t>单位名称（盖章）：</w:t>
      </w:r>
    </w:p>
    <w:p>
      <w:pPr>
        <w:widowControl/>
        <w:adjustRightInd w:val="0"/>
        <w:snapToGrid w:val="0"/>
        <w:spacing w:line="440" w:lineRule="exact"/>
        <w:ind w:firstLine="514" w:firstLineChars="200"/>
        <w:jc w:val="left"/>
        <w:outlineLvl w:val="9"/>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t xml:space="preserve">                                      日  期：</w:t>
      </w: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rPr>
          <w:rFonts w:hint="eastAsia"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lang w:val="en-US" w:eastAsia="zh-CN"/>
        </w:rPr>
        <w:br w:type="page"/>
      </w:r>
    </w:p>
    <w:p>
      <w:pPr>
        <w:pStyle w:val="9"/>
        <w:rPr>
          <w:rFonts w:hint="eastAsia"/>
          <w:highlight w:val="none"/>
          <w:lang w:val="en-US" w:eastAsia="zh-CN"/>
        </w:rPr>
      </w:pPr>
    </w:p>
    <w:p>
      <w:pPr>
        <w:shd w:val="clear" w:color="auto" w:fill="auto"/>
        <w:tabs>
          <w:tab w:val="left" w:pos="3600"/>
        </w:tabs>
        <w:adjustRightInd w:val="0"/>
        <w:snapToGrid w:val="0"/>
        <w:spacing w:line="440" w:lineRule="exact"/>
        <w:jc w:val="center"/>
        <w:outlineLvl w:val="9"/>
        <w:rPr>
          <w:rFonts w:hint="eastAsia" w:ascii="仿宋" w:hAnsi="仿宋" w:eastAsia="仿宋" w:cs="仿宋"/>
          <w:color w:val="auto"/>
          <w:spacing w:val="0"/>
          <w:w w:val="100"/>
          <w:position w:val="0"/>
          <w:sz w:val="36"/>
          <w:szCs w:val="36"/>
          <w:highlight w:val="none"/>
          <w:lang w:val="en-US" w:eastAsia="zh-CN"/>
        </w:rPr>
      </w:pPr>
      <w:r>
        <w:rPr>
          <w:rFonts w:hint="eastAsia" w:ascii="仿宋" w:hAnsi="仿宋" w:eastAsia="仿宋" w:cs="仿宋"/>
          <w:b/>
          <w:bCs/>
          <w:color w:val="auto"/>
          <w:spacing w:val="0"/>
          <w:w w:val="100"/>
          <w:position w:val="0"/>
          <w:sz w:val="36"/>
          <w:szCs w:val="36"/>
          <w:highlight w:val="none"/>
          <w:lang w:val="en-US" w:eastAsia="zh-CN"/>
        </w:rPr>
        <w:t>11、评分标准和细则中技术部分证明材料（格式自拟</w:t>
      </w:r>
      <w:r>
        <w:rPr>
          <w:rFonts w:hint="eastAsia" w:ascii="仿宋" w:hAnsi="仿宋" w:eastAsia="仿宋" w:cs="仿宋"/>
          <w:color w:val="auto"/>
          <w:spacing w:val="0"/>
          <w:w w:val="100"/>
          <w:position w:val="0"/>
          <w:sz w:val="36"/>
          <w:szCs w:val="36"/>
          <w:highlight w:val="none"/>
          <w:lang w:val="en-US" w:eastAsia="zh-CN"/>
        </w:rPr>
        <w:t>）</w:t>
      </w:r>
    </w:p>
    <w:p>
      <w:pPr>
        <w:numPr>
          <w:ilvl w:val="1"/>
          <w:numId w:val="0"/>
        </w:numPr>
        <w:shd w:val="clear" w:color="auto" w:fill="auto"/>
        <w:tabs>
          <w:tab w:val="left" w:pos="540"/>
        </w:tabs>
        <w:spacing w:before="0" w:line="240" w:lineRule="atLeast"/>
        <w:ind w:leftChars="257"/>
        <w:jc w:val="center"/>
        <w:outlineLvl w:val="9"/>
        <w:rPr>
          <w:rFonts w:hint="eastAsia" w:ascii="仿宋" w:hAnsi="仿宋" w:eastAsia="仿宋" w:cs="仿宋"/>
          <w:color w:val="auto"/>
          <w:sz w:val="24"/>
          <w:highlight w:val="none"/>
          <w:lang w:val="en-US" w:eastAsia="zh-CN"/>
        </w:rPr>
      </w:pPr>
    </w:p>
    <w:p>
      <w:pPr>
        <w:pStyle w:val="13"/>
        <w:pageBreakBefore w:val="0"/>
        <w:widowControl w:val="0"/>
        <w:shd w:val="clear" w:color="auto" w:fill="auto"/>
        <w:tabs>
          <w:tab w:val="left" w:pos="5580"/>
        </w:tabs>
        <w:kinsoku/>
        <w:wordWrap/>
        <w:overflowPunct/>
        <w:topLinePunct w:val="0"/>
        <w:autoSpaceDE/>
        <w:autoSpaceDN/>
        <w:bidi w:val="0"/>
        <w:adjustRightInd/>
        <w:snapToGrid/>
        <w:spacing w:line="360" w:lineRule="auto"/>
        <w:ind w:left="1169" w:leftChars="257" w:hanging="54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说明：1.应提供</w:t>
      </w:r>
      <w:r>
        <w:rPr>
          <w:rFonts w:hint="eastAsia" w:ascii="仿宋" w:hAnsi="仿宋" w:eastAsia="仿宋" w:cs="仿宋"/>
          <w:color w:val="auto"/>
          <w:sz w:val="24"/>
          <w:highlight w:val="none"/>
          <w:u w:val="single" w:color="auto"/>
          <w:lang w:eastAsia="zh-CN"/>
        </w:rPr>
        <w:t>评分标准和细则中技术部分</w:t>
      </w:r>
      <w:r>
        <w:rPr>
          <w:rFonts w:hint="eastAsia" w:ascii="仿宋" w:hAnsi="仿宋" w:eastAsia="仿宋" w:cs="仿宋"/>
          <w:color w:val="auto"/>
          <w:sz w:val="24"/>
          <w:highlight w:val="none"/>
        </w:rPr>
        <w:t>要求的其他资格证明文件</w:t>
      </w:r>
      <w:r>
        <w:rPr>
          <w:rFonts w:hint="eastAsia" w:ascii="仿宋" w:hAnsi="仿宋" w:eastAsia="仿宋" w:cs="仿宋"/>
          <w:color w:val="auto"/>
          <w:sz w:val="24"/>
          <w:highlight w:val="none"/>
          <w:lang w:eastAsia="zh-CN"/>
        </w:rPr>
        <w:t>（主要包括：技术部分技术指标、参数响应情况；）</w:t>
      </w:r>
      <w:r>
        <w:rPr>
          <w:rFonts w:hint="eastAsia" w:ascii="仿宋" w:hAnsi="仿宋" w:eastAsia="仿宋" w:cs="仿宋"/>
          <w:color w:val="auto"/>
          <w:sz w:val="24"/>
          <w:highlight w:val="none"/>
        </w:rPr>
        <w:t>。</w:t>
      </w:r>
    </w:p>
    <w:p>
      <w:pPr>
        <w:pStyle w:val="13"/>
        <w:pageBreakBefore w:val="0"/>
        <w:widowControl w:val="0"/>
        <w:shd w:val="clear" w:color="auto" w:fill="auto"/>
        <w:tabs>
          <w:tab w:val="left" w:pos="5580"/>
        </w:tabs>
        <w:kinsoku/>
        <w:wordWrap/>
        <w:overflowPunct/>
        <w:topLinePunct w:val="0"/>
        <w:autoSpaceDE/>
        <w:autoSpaceDN/>
        <w:bidi w:val="0"/>
        <w:adjustRightInd/>
        <w:snapToGrid/>
        <w:spacing w:line="360" w:lineRule="auto"/>
        <w:ind w:firstLine="1470" w:firstLineChars="6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2.复印件上应加盖本单位章（自然人投标的无需盖章，需要签字）。</w:t>
      </w:r>
    </w:p>
    <w:p>
      <w:pPr>
        <w:pageBreakBefore w:val="0"/>
        <w:widowControl w:val="0"/>
        <w:shd w:val="clear" w:color="auto" w:fill="auto"/>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pPr>
        <w:outlineLvl w:val="9"/>
        <w:rPr>
          <w:rFonts w:hint="eastAsia" w:ascii="仿宋" w:hAnsi="仿宋" w:eastAsia="仿宋" w:cs="仿宋"/>
          <w:color w:val="auto"/>
          <w:highlight w:val="none"/>
          <w:lang w:val="en-US" w:eastAsia="zh-CN"/>
        </w:rPr>
      </w:pPr>
    </w:p>
    <w:p>
      <w:pPr>
        <w:numPr>
          <w:ilvl w:val="1"/>
          <w:numId w:val="0"/>
        </w:numPr>
        <w:shd w:val="clear" w:color="auto" w:fill="auto"/>
        <w:tabs>
          <w:tab w:val="left" w:pos="540"/>
        </w:tabs>
        <w:spacing w:before="0" w:line="240" w:lineRule="atLeast"/>
        <w:ind w:leftChars="257"/>
        <w:jc w:val="center"/>
        <w:outlineLvl w:val="9"/>
        <w:rPr>
          <w:rFonts w:hint="eastAsia" w:ascii="仿宋" w:hAnsi="仿宋" w:eastAsia="仿宋" w:cs="仿宋"/>
          <w:color w:val="auto"/>
          <w:sz w:val="24"/>
          <w:highlight w:val="none"/>
          <w:lang w:val="en-US" w:eastAsia="zh-CN"/>
        </w:rPr>
      </w:pPr>
    </w:p>
    <w:p>
      <w:pPr>
        <w:shd w:val="clear" w:color="auto" w:fill="auto"/>
        <w:tabs>
          <w:tab w:val="left" w:pos="3600"/>
        </w:tabs>
        <w:adjustRightInd w:val="0"/>
        <w:snapToGrid w:val="0"/>
        <w:spacing w:line="440" w:lineRule="exact"/>
        <w:jc w:val="center"/>
        <w:outlineLvl w:val="9"/>
        <w:rPr>
          <w:rFonts w:hint="eastAsia" w:ascii="仿宋" w:hAnsi="仿宋" w:eastAsia="仿宋" w:cs="仿宋"/>
          <w:b/>
          <w:bCs/>
          <w:color w:val="auto"/>
          <w:spacing w:val="0"/>
          <w:w w:val="100"/>
          <w:position w:val="0"/>
          <w:sz w:val="36"/>
          <w:szCs w:val="36"/>
          <w:highlight w:val="none"/>
          <w:lang w:val="en-US" w:eastAsia="zh-CN"/>
        </w:rPr>
      </w:pPr>
      <w:r>
        <w:rPr>
          <w:rFonts w:hint="eastAsia" w:ascii="仿宋" w:hAnsi="仿宋" w:eastAsia="仿宋" w:cs="仿宋"/>
          <w:b/>
          <w:bCs/>
          <w:color w:val="auto"/>
          <w:spacing w:val="0"/>
          <w:w w:val="100"/>
          <w:position w:val="0"/>
          <w:sz w:val="36"/>
          <w:szCs w:val="36"/>
          <w:highlight w:val="none"/>
          <w:lang w:val="en-US" w:eastAsia="zh-CN"/>
        </w:rPr>
        <w:t>12、评分标准和细则中商务部分证明材料（格式自拟）</w:t>
      </w:r>
    </w:p>
    <w:p>
      <w:pPr>
        <w:pStyle w:val="13"/>
        <w:shd w:val="clear" w:color="auto" w:fill="auto"/>
        <w:tabs>
          <w:tab w:val="left" w:pos="5580"/>
        </w:tabs>
        <w:spacing w:line="240" w:lineRule="atLeast"/>
        <w:outlineLvl w:val="9"/>
        <w:rPr>
          <w:rFonts w:hint="eastAsia" w:ascii="仿宋" w:hAnsi="仿宋" w:eastAsia="仿宋" w:cs="仿宋"/>
          <w:color w:val="auto"/>
          <w:sz w:val="24"/>
          <w:highlight w:val="none"/>
        </w:rPr>
      </w:pPr>
    </w:p>
    <w:p>
      <w:pPr>
        <w:pStyle w:val="13"/>
        <w:keepNext w:val="0"/>
        <w:keepLines w:val="0"/>
        <w:pageBreakBefore w:val="0"/>
        <w:widowControl w:val="0"/>
        <w:shd w:val="clear" w:color="auto" w:fill="auto"/>
        <w:tabs>
          <w:tab w:val="left" w:pos="5580"/>
        </w:tabs>
        <w:kinsoku/>
        <w:wordWrap/>
        <w:overflowPunct/>
        <w:topLinePunct w:val="0"/>
        <w:autoSpaceDE/>
        <w:autoSpaceDN/>
        <w:bidi w:val="0"/>
        <w:spacing w:line="360" w:lineRule="auto"/>
        <w:ind w:left="1169" w:leftChars="257" w:hanging="54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说明：1.应提供</w:t>
      </w:r>
      <w:r>
        <w:rPr>
          <w:rFonts w:hint="eastAsia" w:ascii="仿宋" w:hAnsi="仿宋" w:eastAsia="仿宋" w:cs="仿宋"/>
          <w:color w:val="auto"/>
          <w:sz w:val="24"/>
          <w:highlight w:val="none"/>
          <w:u w:val="single" w:color="auto"/>
          <w:lang w:eastAsia="zh-CN"/>
        </w:rPr>
        <w:t>评分标准和细则中商务部分</w:t>
      </w:r>
      <w:r>
        <w:rPr>
          <w:rFonts w:hint="eastAsia" w:ascii="仿宋" w:hAnsi="仿宋" w:eastAsia="仿宋" w:cs="仿宋"/>
          <w:color w:val="auto"/>
          <w:sz w:val="24"/>
          <w:highlight w:val="none"/>
        </w:rPr>
        <w:t>要求的其他资格证明文件</w:t>
      </w:r>
      <w:r>
        <w:rPr>
          <w:rFonts w:hint="eastAsia" w:ascii="仿宋" w:hAnsi="仿宋" w:eastAsia="仿宋" w:cs="仿宋"/>
          <w:color w:val="auto"/>
          <w:sz w:val="24"/>
          <w:highlight w:val="none"/>
          <w:lang w:eastAsia="zh-CN"/>
        </w:rPr>
        <w:t>（主要包括：</w:t>
      </w:r>
      <w:r>
        <w:rPr>
          <w:rFonts w:hint="eastAsia" w:ascii="仿宋" w:hAnsi="仿宋" w:eastAsia="仿宋" w:cs="仿宋"/>
          <w:color w:val="auto"/>
          <w:sz w:val="24"/>
          <w:highlight w:val="none"/>
          <w:lang w:val="en-US" w:eastAsia="zh-CN"/>
        </w:rPr>
        <w:t>类似业绩</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售后服务</w:t>
      </w:r>
      <w:r>
        <w:rPr>
          <w:rFonts w:hint="eastAsia" w:ascii="仿宋" w:hAnsi="仿宋" w:eastAsia="仿宋" w:cs="仿宋"/>
          <w:color w:val="auto"/>
          <w:sz w:val="24"/>
          <w:highlight w:val="none"/>
          <w:lang w:eastAsia="zh-CN"/>
        </w:rPr>
        <w:t>等）</w:t>
      </w:r>
      <w:r>
        <w:rPr>
          <w:rFonts w:hint="eastAsia" w:ascii="仿宋" w:hAnsi="仿宋" w:eastAsia="仿宋" w:cs="仿宋"/>
          <w:color w:val="auto"/>
          <w:sz w:val="24"/>
          <w:highlight w:val="none"/>
        </w:rPr>
        <w:t>。</w:t>
      </w:r>
    </w:p>
    <w:p>
      <w:pPr>
        <w:pStyle w:val="13"/>
        <w:keepNext w:val="0"/>
        <w:keepLines w:val="0"/>
        <w:pageBreakBefore w:val="0"/>
        <w:widowControl w:val="0"/>
        <w:shd w:val="clear" w:color="auto" w:fill="auto"/>
        <w:tabs>
          <w:tab w:val="left" w:pos="5580"/>
        </w:tabs>
        <w:kinsoku/>
        <w:wordWrap/>
        <w:overflowPunct/>
        <w:topLinePunct w:val="0"/>
        <w:autoSpaceDE/>
        <w:autoSpaceDN/>
        <w:bidi w:val="0"/>
        <w:spacing w:line="360" w:lineRule="auto"/>
        <w:ind w:firstLine="1470" w:firstLineChars="6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2.复印件上应加盖本单位章（自然人投标的无需盖章，需要签字）。</w:t>
      </w:r>
    </w:p>
    <w:p>
      <w:pPr>
        <w:keepNext w:val="0"/>
        <w:keepLines w:val="0"/>
        <w:pageBreakBefore w:val="0"/>
        <w:widowControl w:val="0"/>
        <w:numPr>
          <w:ilvl w:val="1"/>
          <w:numId w:val="0"/>
        </w:numPr>
        <w:shd w:val="clear" w:color="auto" w:fill="auto"/>
        <w:tabs>
          <w:tab w:val="left" w:pos="540"/>
        </w:tabs>
        <w:kinsoku/>
        <w:wordWrap/>
        <w:overflowPunct/>
        <w:topLinePunct w:val="0"/>
        <w:autoSpaceDE/>
        <w:autoSpaceDN/>
        <w:bidi w:val="0"/>
        <w:spacing w:before="0" w:line="360" w:lineRule="auto"/>
        <w:jc w:val="left"/>
        <w:textAlignment w:val="auto"/>
        <w:outlineLvl w:val="9"/>
        <w:rPr>
          <w:rFonts w:hint="eastAsia" w:ascii="仿宋" w:hAnsi="仿宋" w:eastAsia="仿宋" w:cs="仿宋"/>
          <w:b/>
          <w:bCs/>
          <w:color w:val="auto"/>
          <w:sz w:val="24"/>
          <w:highlight w:val="none"/>
          <w:lang w:val="en-US" w:eastAsia="zh-CN"/>
        </w:rPr>
      </w:pPr>
      <w:r>
        <w:rPr>
          <w:rFonts w:hint="eastAsia" w:ascii="仿宋" w:hAnsi="仿宋" w:eastAsia="仿宋" w:cs="仿宋"/>
          <w:color w:val="auto"/>
          <w:sz w:val="24"/>
          <w:highlight w:val="none"/>
        </w:rPr>
        <w:t xml:space="preserve">    </w:t>
      </w: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outlineLvl w:val="9"/>
        <w:rPr>
          <w:rFonts w:hint="eastAsia" w:ascii="仿宋" w:hAnsi="仿宋" w:eastAsia="仿宋" w:cs="仿宋"/>
          <w:color w:val="auto"/>
          <w:highlight w:val="none"/>
          <w:lang w:val="en-US" w:eastAsia="zh-CN"/>
        </w:rPr>
      </w:pP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shd w:val="clear" w:color="auto" w:fill="auto"/>
        <w:tabs>
          <w:tab w:val="left" w:pos="3600"/>
        </w:tabs>
        <w:adjustRightInd w:val="0"/>
        <w:snapToGrid w:val="0"/>
        <w:spacing w:line="440" w:lineRule="exact"/>
        <w:jc w:val="center"/>
        <w:outlineLvl w:val="9"/>
        <w:rPr>
          <w:rFonts w:hint="eastAsia" w:ascii="仿宋" w:hAnsi="仿宋" w:eastAsia="仿宋" w:cs="仿宋"/>
          <w:b/>
          <w:bCs/>
          <w:color w:val="auto"/>
          <w:spacing w:val="0"/>
          <w:w w:val="90"/>
          <w:position w:val="0"/>
          <w:sz w:val="36"/>
          <w:szCs w:val="36"/>
          <w:highlight w:val="none"/>
          <w:lang w:val="en-US" w:eastAsia="zh-CN"/>
        </w:rPr>
      </w:pPr>
      <w:r>
        <w:rPr>
          <w:rFonts w:hint="eastAsia" w:ascii="仿宋" w:hAnsi="仿宋" w:eastAsia="仿宋" w:cs="仿宋"/>
          <w:b/>
          <w:bCs/>
          <w:color w:val="auto"/>
          <w:spacing w:val="0"/>
          <w:w w:val="100"/>
          <w:position w:val="0"/>
          <w:sz w:val="36"/>
          <w:szCs w:val="36"/>
          <w:highlight w:val="none"/>
          <w:lang w:val="en-US" w:eastAsia="zh-CN"/>
        </w:rPr>
        <w:t>13、</w:t>
      </w:r>
      <w:r>
        <w:rPr>
          <w:rFonts w:hint="eastAsia" w:ascii="仿宋" w:hAnsi="仿宋" w:eastAsia="仿宋" w:cs="仿宋"/>
          <w:b/>
          <w:bCs/>
          <w:color w:val="auto"/>
          <w:spacing w:val="0"/>
          <w:w w:val="90"/>
          <w:position w:val="0"/>
          <w:sz w:val="36"/>
          <w:szCs w:val="36"/>
          <w:highlight w:val="none"/>
          <w:lang w:val="en-US" w:eastAsia="zh-CN"/>
        </w:rPr>
        <w:t>投标人认为有必要提供的其他证明材料（格式自拟）</w:t>
      </w:r>
    </w:p>
    <w:p>
      <w:pPr>
        <w:pStyle w:val="13"/>
        <w:shd w:val="clear" w:color="auto" w:fill="auto"/>
        <w:tabs>
          <w:tab w:val="left" w:pos="5580"/>
        </w:tabs>
        <w:spacing w:line="240" w:lineRule="atLeast"/>
        <w:ind w:firstLine="490" w:firstLineChars="200"/>
        <w:outlineLvl w:val="9"/>
        <w:rPr>
          <w:rFonts w:hint="eastAsia" w:ascii="仿宋" w:hAnsi="仿宋" w:eastAsia="仿宋" w:cs="仿宋"/>
          <w:color w:val="auto"/>
          <w:sz w:val="24"/>
          <w:highlight w:val="none"/>
        </w:rPr>
      </w:pPr>
    </w:p>
    <w:p>
      <w:pPr>
        <w:pStyle w:val="13"/>
        <w:shd w:val="clear" w:color="auto" w:fill="auto"/>
        <w:tabs>
          <w:tab w:val="left" w:pos="5580"/>
        </w:tabs>
        <w:spacing w:line="240" w:lineRule="atLeast"/>
        <w:ind w:firstLine="49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说明：复印件上应加盖本单位章（自然人投标的无需盖章，需要签字）。</w:t>
      </w:r>
    </w:p>
    <w:p>
      <w:pPr>
        <w:pStyle w:val="14"/>
        <w:outlineLvl w:val="9"/>
        <w:rPr>
          <w:rFonts w:hint="eastAsia"/>
          <w:color w:val="auto"/>
          <w:highlight w:val="none"/>
        </w:rPr>
      </w:pPr>
    </w:p>
    <w:sectPr>
      <w:headerReference r:id="rId12" w:type="default"/>
      <w:footerReference r:id="rId13" w:type="default"/>
      <w:pgSz w:w="11905" w:h="16838"/>
      <w:pgMar w:top="1440" w:right="1417" w:bottom="1440" w:left="1417" w:header="850" w:footer="992" w:gutter="0"/>
      <w:pgNumType w:fmt="decimal"/>
      <w:cols w:space="0" w:num="1"/>
      <w:rtlGutter w:val="0"/>
      <w:docGrid w:type="linesAndChars" w:linePitch="335" w:charSpace="105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_x000B__x000C_">
    <w:altName w:val="Courier New"/>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jc w:val="both"/>
      <w:rPr>
        <w:rFonts w:hint="eastAsia" w:ascii="仿宋" w:hAnsi="仿宋" w:eastAsia="仿宋" w:cs="仿宋"/>
        <w:sz w:val="40"/>
        <w:szCs w:val="56"/>
      </w:rPr>
    </w:pPr>
    <w:r>
      <w:rPr>
        <w:rFonts w:hint="eastAsia" w:ascii="仿宋" w:hAnsi="仿宋" w:eastAsia="仿宋" w:cs="仿宋"/>
        <w:sz w:val="24"/>
        <w:szCs w:val="4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KDQKckBAACb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DkjhuceLnnz/Ovx7PD98J&#10;+lCgPkCNeXcBM9Pw3g+4NrMf0Jl5Dyra/EVGBOOIdbrIK4dERH60Wq5WFYYExuYL4rOn5yFC+iC9&#10;JdloaMT5FVn58ROkMXVOydWcv9XGlBka95cDMbOH5d7HHrOVht0wEdr59oR8ehx9Qx1uOiXmo0Nl&#10;sb80G3E2drNxCFHvu7JGuR6Ed4eETZTecoURdiqMMyvspv3KS/HnvWQ9/VOb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MoNApyQEAAJsDAAAOAAAAAAAAAAEAIAAAAB4BAABkcnMvZTJvRG9j&#10;LnhtbFBLBQYAAAAABgAGAFkBAABZBQAAAAA=&#10;">
              <v:fill on="f" focussize="0,0"/>
              <v:stroke on="f"/>
              <v:imagedata o:title=""/>
              <o:lock v:ext="edit" aspectratio="f"/>
              <v:textbox inset="0mm,0mm,0mm,0mm" style="mso-fit-shape-to-text:t;">
                <w:txbxConten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jc w:val="both"/>
      <w:rPr>
        <w:rFonts w:hint="eastAsia" w:ascii="仿宋" w:hAnsi="仿宋" w:eastAsia="仿宋" w:cs="仿宋"/>
        <w:sz w:val="24"/>
        <w:szCs w:val="24"/>
      </w:rPr>
    </w:pPr>
    <w:r>
      <w:rPr>
        <w:rFonts w:hint="eastAsia" w:ascii="仿宋" w:hAnsi="仿宋" w:eastAsia="仿宋" w:cs="仿宋"/>
        <w:sz w:val="24"/>
        <w:szCs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68+0co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2+oc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v68+0coBAACbAwAADgAAAAAAAAABACAAAAAeAQAAZHJzL2Uyb0Rv&#10;Yy54bWxQSwUGAAAAAAYABgBZAQAAWgUAAAAA&#10;">
              <v:fill on="f" focussize="0,0"/>
              <v:stroke on="f"/>
              <v:imagedata o:title=""/>
              <o:lock v:ext="edit" aspectratio="f"/>
              <v:textbox inset="0mm,0mm,0mm,0mm" style="mso-fit-shape-to-text:t;">
                <w:txbxContent>
                  <w:p>
                    <w:pPr>
                      <w:pStyle w:val="15"/>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jc w:val="both"/>
      <w:rPr>
        <w:rFonts w:hint="eastAsia"/>
      </w:rPr>
    </w:pPr>
    <w:r>
      <w:rPr>
        <w:sz w:val="16"/>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w:t>
                    </w:r>
                    <w:r>
                      <w:fldChar w:fldCharType="end"/>
                    </w:r>
                  </w:p>
                </w:txbxContent>
              </v:textbox>
            </v:shape>
          </w:pict>
        </mc:Fallback>
      </mc:AlternateContent>
    </w:r>
    <w:r>
      <w:rPr>
        <w:sz w:val="16"/>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0AeMkBAACb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i2octrShy3OPHzzx/nX3/Ov78T&#10;9KFAfYAa8x4CZqbhgx9wbWY/oDPzHlS0+YuMCMZR3tNFXjkkIvKj1XK1qjAkMDZfEJ89Pg8R0kfp&#10;LclGQyPOr8jKj3eQxtQ5JVdz/lYbU2Zo3H8OxMwelnsfe8xWGnbDRGjn2xPy6XH0DXW46ZSYTw6V&#10;zVsyG3E2drNxCFHvu7JGuR6E94eETZTecoURdiqMMyvspv3KS/HvvWQ9/lOb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GDQB4yQEAAJsDAAAOAAAAAAAAAAEAIAAAAB4BAABkcnMvZTJvRG9j&#10;LnhtbFBLBQYAAAAABgAGAFkBAABZBQAAAAA=&#10;">
              <v:fill on="f" focussize="0,0"/>
              <v:stroke on="f"/>
              <v:imagedata o:title=""/>
              <o:lock v:ext="edit" aspectratio="f"/>
              <v:textbox inset="0mm,0mm,0mm,0mm" style="mso-fit-shape-to-text:t;">
                <w:txbxContent>
                  <w:p>
                    <w:pPr>
                      <w:pStyle w:val="15"/>
                    </w:pPr>
                  </w:p>
                </w:txbxContent>
              </v:textbox>
            </v:shape>
          </w:pict>
        </mc:Fallback>
      </mc:AlternateContent>
    </w:r>
    <w:r>
      <w:rPr>
        <w:rFonts w:hint="eastAsia"/>
        <w:sz w:val="16"/>
        <w:szCs w:val="16"/>
      </w:rPr>
      <w:t xml:space="preserve"> </w:t>
    </w:r>
    <w:r>
      <w:rPr>
        <w:rFonts w:hint="eastAsia"/>
        <w:color w:val="800000"/>
        <w:sz w:val="16"/>
        <w:szCs w:val="20"/>
        <w:lang w:val="en-US" w:eastAsia="zh-CN"/>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jc w:val="both"/>
      <w:rPr>
        <w:rFonts w:hint="eastAsia"/>
      </w:rPr>
    </w:pPr>
    <w:r>
      <w:rPr>
        <w:sz w:val="13"/>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3</w:t>
                    </w:r>
                    <w:r>
                      <w:fldChar w:fldCharType="end"/>
                    </w:r>
                  </w:p>
                </w:txbxContent>
              </v:textbox>
            </v:shape>
          </w:pict>
        </mc:Fallback>
      </mc:AlternateContent>
    </w:r>
    <w:r>
      <w:rPr>
        <w:rFonts w:hint="eastAsia"/>
        <w:sz w:val="13"/>
        <w:szCs w:val="13"/>
      </w:rPr>
      <w:t xml:space="preserve"> </w:t>
    </w:r>
    <w:r>
      <w:rPr>
        <w:rFonts w:hint="eastAsia"/>
      </w:rPr>
      <w:t xml:space="preserve">  </w:t>
    </w:r>
  </w:p>
  <w:p>
    <w:pPr>
      <w:pStyle w:val="15"/>
      <w:tabs>
        <w:tab w:val="center" w:pos="4320"/>
        <w:tab w:val="right" w:pos="8640"/>
        <w:tab w:val="clear" w:pos="4153"/>
        <w:tab w:val="clear" w:pos="8306"/>
      </w:tabs>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jc w:val="both"/>
      <w:rPr>
        <w:rFonts w:hint="eastAsia"/>
      </w:rPr>
    </w:pPr>
    <w:r>
      <w:rPr>
        <w:sz w:val="24"/>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pPr>
                          <w:r>
                            <w:fldChar w:fldCharType="begin"/>
                          </w:r>
                          <w:r>
                            <w:instrText xml:space="preserve"> PAGE  \* MERGEFORMAT </w:instrText>
                          </w:r>
                          <w:r>
                            <w:fldChar w:fldCharType="separate"/>
                          </w:r>
                          <w:r>
                            <w:t>13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MMV+MkBAACbAwAADgAAAGRycy9lMm9Eb2MueG1srVPNjtMwEL4j8Q6W&#10;79Rpk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OslJY5bnPjl+7fLj1+Xn18J&#10;+lCgPkCNeQ8BM9Nw5wdcm9kP6My8BxVt/iIjgnGU93yVVw6JiPxovVqvKwwJjM0XxGePz0OE9FZ6&#10;S7LR0IjzK7Ly03tIY+qckqs5f6+NKTM07i8HYmYPy72PPWYrDfthIrT37Rn59Dj6hjrcdErMO4fK&#10;5i2ZjTgb+9k4hqgPXVmjXA/C7TFhE6W3XGGEnQrjzAq7ab/yUvx5L1mP/9T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wxX4yQEAAJsDAAAOAAAAAAAAAAEAIAAAAB4BAABkcnMvZTJvRG9j&#10;LnhtbFBLBQYAAAAABgAGAFkBAABZBQAAAAA=&#10;">
              <v:fill on="f" focussize="0,0"/>
              <v:stroke on="f"/>
              <v:imagedata o:title=""/>
              <o:lock v:ext="edit" aspectratio="f"/>
              <v:textbox inset="0mm,0mm,0mm,0mm" style="mso-fit-shape-to-text:t;">
                <w:txbxContent>
                  <w:p>
                    <w:pPr>
                      <w:pStyle w:val="15"/>
                    </w:pPr>
                    <w:r>
                      <w:fldChar w:fldCharType="begin"/>
                    </w:r>
                    <w:r>
                      <w:instrText xml:space="preserve"> PAGE  \* MERGEFORMAT </w:instrText>
                    </w:r>
                    <w:r>
                      <w:fldChar w:fldCharType="separate"/>
                    </w:r>
                    <w:r>
                      <w:t>13</w:t>
                    </w:r>
                    <w:r>
                      <w:fldChar w:fldCharType="end"/>
                    </w:r>
                  </w:p>
                </w:txbxContent>
              </v:textbox>
            </v:shape>
          </w:pict>
        </mc:Fallback>
      </mc:AlternateContent>
    </w:r>
    <w:r>
      <w:rPr>
        <w:rFonts w:hint="eastAsia" w:ascii="宋体" w:hAnsi="宋体" w:eastAsia="宋体" w:cs="宋体"/>
        <w:b w:val="0"/>
        <w:bCs w:val="0"/>
        <w:color w:val="auto"/>
        <w:sz w:val="24"/>
        <w:szCs w:val="24"/>
        <w:u w:val="none"/>
        <w:lang w:val="en-US" w:eastAsia="zh-CN"/>
      </w:rPr>
      <w:t xml:space="preserve">  </w:t>
    </w:r>
    <w:r>
      <w:rPr>
        <w:rFonts w:hint="eastAsia"/>
        <w:sz w:val="13"/>
        <w:szCs w:val="13"/>
      </w:rPr>
      <w:t xml:space="preserve"> </w:t>
    </w:r>
    <w:r>
      <w:rPr>
        <w:rFonts w:hint="eastAsia"/>
      </w:rPr>
      <w:t xml:space="preserve"> </w:t>
    </w:r>
    <w:r>
      <w:rPr>
        <w:rFonts w:hint="eastAsia"/>
        <w:color w:val="800000"/>
        <w:sz w:val="16"/>
        <w:szCs w:val="20"/>
        <w:lang w:val="en-US" w:eastAsia="zh-CN"/>
      </w:rPr>
      <w:t xml:space="preserve">      </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200" w:hanging="7200" w:hangingChars="4000"/>
      <w:jc w:val="both"/>
      <w:textAlignment w:val="auto"/>
      <w:rPr>
        <w:rFonts w:hint="default"/>
        <w:lang w:val="en-US"/>
      </w:rPr>
    </w:pPr>
  </w:p>
  <w:p>
    <w:pPr>
      <w:pStyle w:val="15"/>
      <w:ind w:right="360"/>
      <w:jc w:val="right"/>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tabs>
        <w:tab w:val="clear" w:pos="4153"/>
        <w:tab w:val="clear" w:pos="8306"/>
      </w:tabs>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both"/>
      <w:rPr>
        <w:rFonts w:hint="eastAsia" w:ascii="宋体" w:hAnsi="宋体" w:eastAsia="宋体" w:cs="宋体"/>
        <w:sz w:val="20"/>
        <w:szCs w:val="20"/>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both"/>
      <w:rPr>
        <w:rFonts w:hint="eastAsia" w:ascii="宋体" w:hAnsi="宋体" w:eastAsia="宋体" w:cs="宋体"/>
        <w:sz w:val="20"/>
        <w:szCs w:val="20"/>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4BF8D2"/>
    <w:multiLevelType w:val="singleLevel"/>
    <w:tmpl w:val="B94BF8D2"/>
    <w:lvl w:ilvl="0" w:tentative="0">
      <w:start w:val="1"/>
      <w:numFmt w:val="chineseCounting"/>
      <w:lvlText w:val="%1."/>
      <w:lvlJc w:val="left"/>
      <w:pPr>
        <w:tabs>
          <w:tab w:val="left" w:pos="312"/>
        </w:tabs>
      </w:pPr>
      <w:rPr>
        <w:rFonts w:hint="eastAsia"/>
      </w:rPr>
    </w:lvl>
  </w:abstractNum>
  <w:abstractNum w:abstractNumId="1">
    <w:nsid w:val="FAF293B7"/>
    <w:multiLevelType w:val="singleLevel"/>
    <w:tmpl w:val="FAF293B7"/>
    <w:lvl w:ilvl="0" w:tentative="0">
      <w:start w:val="1"/>
      <w:numFmt w:val="decimal"/>
      <w:suff w:val="nothing"/>
      <w:lvlText w:val="%1、"/>
      <w:lvlJc w:val="left"/>
    </w:lvl>
  </w:abstractNum>
  <w:abstractNum w:abstractNumId="2">
    <w:nsid w:val="FB2EA784"/>
    <w:multiLevelType w:val="singleLevel"/>
    <w:tmpl w:val="FB2EA784"/>
    <w:lvl w:ilvl="0" w:tentative="0">
      <w:start w:val="4"/>
      <w:numFmt w:val="chineseCounting"/>
      <w:suff w:val="space"/>
      <w:lvlText w:val="第%1部分"/>
      <w:lvlJc w:val="left"/>
      <w:rPr>
        <w:rFonts w:hint="eastAsia"/>
      </w:rPr>
    </w:lvl>
  </w:abstractNum>
  <w:abstractNum w:abstractNumId="3">
    <w:nsid w:val="0000000D"/>
    <w:multiLevelType w:val="multilevel"/>
    <w:tmpl w:val="0000000D"/>
    <w:lvl w:ilvl="0" w:tentative="0">
      <w:start w:val="1"/>
      <w:numFmt w:val="decimal"/>
      <w:pStyle w:val="9"/>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abstractNum w:abstractNumId="4">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5">
    <w:nsid w:val="29F8C1D1"/>
    <w:multiLevelType w:val="singleLevel"/>
    <w:tmpl w:val="29F8C1D1"/>
    <w:lvl w:ilvl="0" w:tentative="0">
      <w:start w:val="1"/>
      <w:numFmt w:val="decimal"/>
      <w:lvlText w:val="%1."/>
      <w:lvlJc w:val="left"/>
      <w:pPr>
        <w:tabs>
          <w:tab w:val="left" w:pos="312"/>
        </w:tabs>
      </w:pPr>
    </w:lvl>
  </w:abstractNum>
  <w:abstractNum w:abstractNumId="6">
    <w:nsid w:val="2FC88FB8"/>
    <w:multiLevelType w:val="singleLevel"/>
    <w:tmpl w:val="2FC88FB8"/>
    <w:lvl w:ilvl="0" w:tentative="0">
      <w:start w:val="1"/>
      <w:numFmt w:val="decimal"/>
      <w:lvlText w:val="%1."/>
      <w:lvlJc w:val="left"/>
      <w:pPr>
        <w:tabs>
          <w:tab w:val="left" w:pos="312"/>
        </w:tabs>
      </w:pPr>
    </w:lvl>
  </w:abstractNum>
  <w:abstractNum w:abstractNumId="7">
    <w:nsid w:val="3105F6B5"/>
    <w:multiLevelType w:val="singleLevel"/>
    <w:tmpl w:val="3105F6B5"/>
    <w:lvl w:ilvl="0" w:tentative="0">
      <w:start w:val="1"/>
      <w:numFmt w:val="decimal"/>
      <w:suff w:val="nothing"/>
      <w:lvlText w:val="%1、"/>
      <w:lvlJc w:val="left"/>
      <w:pPr>
        <w:ind w:left="320" w:leftChars="0" w:firstLine="0" w:firstLineChars="0"/>
      </w:pPr>
    </w:lvl>
  </w:abstractNum>
  <w:abstractNum w:abstractNumId="8">
    <w:nsid w:val="55CD4C99"/>
    <w:multiLevelType w:val="singleLevel"/>
    <w:tmpl w:val="55CD4C99"/>
    <w:lvl w:ilvl="0" w:tentative="0">
      <w:start w:val="1"/>
      <w:numFmt w:val="chineseCounting"/>
      <w:suff w:val="nothing"/>
      <w:lvlText w:val="%1、"/>
      <w:lvlJc w:val="left"/>
    </w:lvl>
  </w:abstractNum>
  <w:abstractNum w:abstractNumId="9">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3"/>
  </w:num>
  <w:num w:numId="2">
    <w:abstractNumId w:val="1"/>
  </w:num>
  <w:num w:numId="3">
    <w:abstractNumId w:val="7"/>
  </w:num>
  <w:num w:numId="4">
    <w:abstractNumId w:val="8"/>
  </w:num>
  <w:num w:numId="5">
    <w:abstractNumId w:val="4"/>
  </w:num>
  <w:num w:numId="6">
    <w:abstractNumId w:val="9"/>
  </w:num>
  <w:num w:numId="7">
    <w:abstractNumId w:val="2"/>
  </w:num>
  <w:num w:numId="8">
    <w:abstractNumId w:val="5"/>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SystemFonts/>
  <w:bordersDoNotSurroundHeader w:val="0"/>
  <w:bordersDoNotSurroundFooter w:val="0"/>
  <w:documentProtection w:enforcement="0"/>
  <w:defaultTabStop w:val="420"/>
  <w:drawingGridHorizontalSpacing w:val="123"/>
  <w:drawingGridVerticalSpacing w:val="168"/>
  <w:displayHorizontalDrawingGridEvery w:val="2"/>
  <w:displayVerticalDrawingGridEvery w:val="2"/>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5MDQxMTZlZGQyMGI1NzY0NmI5MTVkYTBiMTEwZjgifQ=="/>
  </w:docVars>
  <w:rsids>
    <w:rsidRoot w:val="430832B2"/>
    <w:rsid w:val="00036274"/>
    <w:rsid w:val="001C66E0"/>
    <w:rsid w:val="00271C3B"/>
    <w:rsid w:val="00472A86"/>
    <w:rsid w:val="00DF3300"/>
    <w:rsid w:val="0123584C"/>
    <w:rsid w:val="01387A0A"/>
    <w:rsid w:val="015E08CF"/>
    <w:rsid w:val="0179736B"/>
    <w:rsid w:val="01E44B68"/>
    <w:rsid w:val="023C35FE"/>
    <w:rsid w:val="025D7EBF"/>
    <w:rsid w:val="03120DC1"/>
    <w:rsid w:val="038329E4"/>
    <w:rsid w:val="04197466"/>
    <w:rsid w:val="042A106A"/>
    <w:rsid w:val="043507A9"/>
    <w:rsid w:val="04DF1D99"/>
    <w:rsid w:val="04F35535"/>
    <w:rsid w:val="05CE725F"/>
    <w:rsid w:val="05E31007"/>
    <w:rsid w:val="06141E47"/>
    <w:rsid w:val="063B7194"/>
    <w:rsid w:val="06E90C77"/>
    <w:rsid w:val="074D53D1"/>
    <w:rsid w:val="08323FEC"/>
    <w:rsid w:val="085D5AE7"/>
    <w:rsid w:val="091D420B"/>
    <w:rsid w:val="09231976"/>
    <w:rsid w:val="093F2ABC"/>
    <w:rsid w:val="099C0E75"/>
    <w:rsid w:val="0A982D0F"/>
    <w:rsid w:val="0AD77765"/>
    <w:rsid w:val="0AEC1713"/>
    <w:rsid w:val="0AEC1935"/>
    <w:rsid w:val="0B213EE8"/>
    <w:rsid w:val="0B2F3756"/>
    <w:rsid w:val="0B680A2B"/>
    <w:rsid w:val="0B84310F"/>
    <w:rsid w:val="0B9E39F1"/>
    <w:rsid w:val="0BF26C44"/>
    <w:rsid w:val="0CDD46C2"/>
    <w:rsid w:val="0D2B33CB"/>
    <w:rsid w:val="0DE97ED5"/>
    <w:rsid w:val="0E3C57BD"/>
    <w:rsid w:val="0E782F04"/>
    <w:rsid w:val="0F5301E8"/>
    <w:rsid w:val="0F9E7F65"/>
    <w:rsid w:val="10685029"/>
    <w:rsid w:val="10751E04"/>
    <w:rsid w:val="107847B5"/>
    <w:rsid w:val="110E25D3"/>
    <w:rsid w:val="11A227BD"/>
    <w:rsid w:val="11BC2427"/>
    <w:rsid w:val="12F664ED"/>
    <w:rsid w:val="130308CA"/>
    <w:rsid w:val="135B3A09"/>
    <w:rsid w:val="13725EDE"/>
    <w:rsid w:val="13F25F1E"/>
    <w:rsid w:val="14333C53"/>
    <w:rsid w:val="147F77B9"/>
    <w:rsid w:val="15164F4C"/>
    <w:rsid w:val="1525173B"/>
    <w:rsid w:val="153C6A85"/>
    <w:rsid w:val="15AE1060"/>
    <w:rsid w:val="15E839EB"/>
    <w:rsid w:val="160A2911"/>
    <w:rsid w:val="167B61DA"/>
    <w:rsid w:val="169D7529"/>
    <w:rsid w:val="170A0FC7"/>
    <w:rsid w:val="171F0B4E"/>
    <w:rsid w:val="17451C21"/>
    <w:rsid w:val="17EB3771"/>
    <w:rsid w:val="182C2DE0"/>
    <w:rsid w:val="18333FC9"/>
    <w:rsid w:val="184B14B9"/>
    <w:rsid w:val="18FE29CF"/>
    <w:rsid w:val="1910625E"/>
    <w:rsid w:val="19791440"/>
    <w:rsid w:val="198D3D53"/>
    <w:rsid w:val="19F6321A"/>
    <w:rsid w:val="1A3C3B56"/>
    <w:rsid w:val="1AA14F3E"/>
    <w:rsid w:val="1AED2CFB"/>
    <w:rsid w:val="1AFA15B8"/>
    <w:rsid w:val="1BA86B96"/>
    <w:rsid w:val="1BD6471C"/>
    <w:rsid w:val="1BE65325"/>
    <w:rsid w:val="1E6813A9"/>
    <w:rsid w:val="1E91363A"/>
    <w:rsid w:val="1ECE4F82"/>
    <w:rsid w:val="1EE5064C"/>
    <w:rsid w:val="1F232690"/>
    <w:rsid w:val="1F5B26D6"/>
    <w:rsid w:val="1F6007D8"/>
    <w:rsid w:val="1FBF7012"/>
    <w:rsid w:val="206F41B2"/>
    <w:rsid w:val="2080160F"/>
    <w:rsid w:val="212A6FB2"/>
    <w:rsid w:val="22965E6B"/>
    <w:rsid w:val="22A01578"/>
    <w:rsid w:val="22F917C9"/>
    <w:rsid w:val="23874BA3"/>
    <w:rsid w:val="2482417B"/>
    <w:rsid w:val="24AA355B"/>
    <w:rsid w:val="24D80E4E"/>
    <w:rsid w:val="25002F8D"/>
    <w:rsid w:val="250F1BE1"/>
    <w:rsid w:val="251B598A"/>
    <w:rsid w:val="25546BA5"/>
    <w:rsid w:val="25550156"/>
    <w:rsid w:val="25777D91"/>
    <w:rsid w:val="260D7B4D"/>
    <w:rsid w:val="267D2FA7"/>
    <w:rsid w:val="26D37563"/>
    <w:rsid w:val="26E45926"/>
    <w:rsid w:val="27161DF2"/>
    <w:rsid w:val="27D72414"/>
    <w:rsid w:val="283D072F"/>
    <w:rsid w:val="28527753"/>
    <w:rsid w:val="285C7E68"/>
    <w:rsid w:val="286B44D3"/>
    <w:rsid w:val="28CE180E"/>
    <w:rsid w:val="291C049E"/>
    <w:rsid w:val="299F2BD7"/>
    <w:rsid w:val="29DC7303"/>
    <w:rsid w:val="2A2953D2"/>
    <w:rsid w:val="2A403E4C"/>
    <w:rsid w:val="2A470C7F"/>
    <w:rsid w:val="2A6F2C28"/>
    <w:rsid w:val="2AB303AA"/>
    <w:rsid w:val="2AF552B4"/>
    <w:rsid w:val="2B7102E5"/>
    <w:rsid w:val="2B762634"/>
    <w:rsid w:val="2C047AD0"/>
    <w:rsid w:val="2C4C731E"/>
    <w:rsid w:val="2C7C4FC9"/>
    <w:rsid w:val="2D1B0C53"/>
    <w:rsid w:val="2DF06B27"/>
    <w:rsid w:val="2DF1140A"/>
    <w:rsid w:val="2E1B0C2F"/>
    <w:rsid w:val="2E2D151C"/>
    <w:rsid w:val="2E764B34"/>
    <w:rsid w:val="2E9D1F9E"/>
    <w:rsid w:val="2FA50B1C"/>
    <w:rsid w:val="305F7D9F"/>
    <w:rsid w:val="30CE30FC"/>
    <w:rsid w:val="31146331"/>
    <w:rsid w:val="31286C3D"/>
    <w:rsid w:val="31753DD8"/>
    <w:rsid w:val="31C54436"/>
    <w:rsid w:val="335C76C1"/>
    <w:rsid w:val="33974E7C"/>
    <w:rsid w:val="34325BDF"/>
    <w:rsid w:val="3464452F"/>
    <w:rsid w:val="34AC63E7"/>
    <w:rsid w:val="35427B0F"/>
    <w:rsid w:val="355166BF"/>
    <w:rsid w:val="35C66178"/>
    <w:rsid w:val="36AA5E0A"/>
    <w:rsid w:val="36E42A50"/>
    <w:rsid w:val="379F4F25"/>
    <w:rsid w:val="37D44BCF"/>
    <w:rsid w:val="38083993"/>
    <w:rsid w:val="386C0CA7"/>
    <w:rsid w:val="3891387E"/>
    <w:rsid w:val="38C56C0D"/>
    <w:rsid w:val="39C72577"/>
    <w:rsid w:val="3A1273C6"/>
    <w:rsid w:val="3A263F97"/>
    <w:rsid w:val="3A283A12"/>
    <w:rsid w:val="3AE06945"/>
    <w:rsid w:val="3BC55DD4"/>
    <w:rsid w:val="3BFA097C"/>
    <w:rsid w:val="3C044892"/>
    <w:rsid w:val="3C415AEE"/>
    <w:rsid w:val="3CA827C1"/>
    <w:rsid w:val="3CAD59EE"/>
    <w:rsid w:val="3D681E63"/>
    <w:rsid w:val="3D751F42"/>
    <w:rsid w:val="3DFE78A7"/>
    <w:rsid w:val="3E0E1F27"/>
    <w:rsid w:val="3E983751"/>
    <w:rsid w:val="3ED26025"/>
    <w:rsid w:val="3FA7735D"/>
    <w:rsid w:val="408E72C3"/>
    <w:rsid w:val="408E7BCF"/>
    <w:rsid w:val="40B26236"/>
    <w:rsid w:val="41047E71"/>
    <w:rsid w:val="413A315B"/>
    <w:rsid w:val="41523CEF"/>
    <w:rsid w:val="41681350"/>
    <w:rsid w:val="416F668A"/>
    <w:rsid w:val="419F6662"/>
    <w:rsid w:val="41A72D03"/>
    <w:rsid w:val="41BC55E0"/>
    <w:rsid w:val="41CC18D7"/>
    <w:rsid w:val="420B7389"/>
    <w:rsid w:val="42297C51"/>
    <w:rsid w:val="423544BC"/>
    <w:rsid w:val="423563C7"/>
    <w:rsid w:val="42A122A4"/>
    <w:rsid w:val="42C57370"/>
    <w:rsid w:val="430832B2"/>
    <w:rsid w:val="435B2B0B"/>
    <w:rsid w:val="445769C9"/>
    <w:rsid w:val="44740DA7"/>
    <w:rsid w:val="447F0FE7"/>
    <w:rsid w:val="44951B21"/>
    <w:rsid w:val="4501031B"/>
    <w:rsid w:val="454815E5"/>
    <w:rsid w:val="45712B3F"/>
    <w:rsid w:val="457C2033"/>
    <w:rsid w:val="46A95479"/>
    <w:rsid w:val="46F77B89"/>
    <w:rsid w:val="4706296E"/>
    <w:rsid w:val="4743767B"/>
    <w:rsid w:val="4834354A"/>
    <w:rsid w:val="490F2667"/>
    <w:rsid w:val="49726A4B"/>
    <w:rsid w:val="4A0D2D7D"/>
    <w:rsid w:val="4A4B2CCE"/>
    <w:rsid w:val="4A69564B"/>
    <w:rsid w:val="4B856EF0"/>
    <w:rsid w:val="4BB73B85"/>
    <w:rsid w:val="4BF478AD"/>
    <w:rsid w:val="4BF50141"/>
    <w:rsid w:val="4C17384D"/>
    <w:rsid w:val="4C257A37"/>
    <w:rsid w:val="4CF5766A"/>
    <w:rsid w:val="4CF71E3A"/>
    <w:rsid w:val="4DF50B78"/>
    <w:rsid w:val="4E6938E7"/>
    <w:rsid w:val="4E701DC0"/>
    <w:rsid w:val="4F006719"/>
    <w:rsid w:val="4F2E489B"/>
    <w:rsid w:val="4F5166AD"/>
    <w:rsid w:val="4F5D25FD"/>
    <w:rsid w:val="4FB41D44"/>
    <w:rsid w:val="4FCC0E0D"/>
    <w:rsid w:val="4FF85969"/>
    <w:rsid w:val="50BF6E81"/>
    <w:rsid w:val="5119117C"/>
    <w:rsid w:val="513F080C"/>
    <w:rsid w:val="515317E5"/>
    <w:rsid w:val="515B13D4"/>
    <w:rsid w:val="52324560"/>
    <w:rsid w:val="52485F28"/>
    <w:rsid w:val="52654DCD"/>
    <w:rsid w:val="5306542C"/>
    <w:rsid w:val="533662E6"/>
    <w:rsid w:val="53390376"/>
    <w:rsid w:val="534704F3"/>
    <w:rsid w:val="53746819"/>
    <w:rsid w:val="53940122"/>
    <w:rsid w:val="553813F1"/>
    <w:rsid w:val="55B81281"/>
    <w:rsid w:val="56493792"/>
    <w:rsid w:val="57AA6466"/>
    <w:rsid w:val="57D3597F"/>
    <w:rsid w:val="58A83ABB"/>
    <w:rsid w:val="597C103E"/>
    <w:rsid w:val="59BD150F"/>
    <w:rsid w:val="5A7E608A"/>
    <w:rsid w:val="5AE0581C"/>
    <w:rsid w:val="5BBE637E"/>
    <w:rsid w:val="5BE43388"/>
    <w:rsid w:val="5C233588"/>
    <w:rsid w:val="5CA75AA1"/>
    <w:rsid w:val="5CBC3478"/>
    <w:rsid w:val="5CD53D28"/>
    <w:rsid w:val="5CFE772B"/>
    <w:rsid w:val="5D2366CB"/>
    <w:rsid w:val="5D2E6280"/>
    <w:rsid w:val="5D3331A6"/>
    <w:rsid w:val="5E0B0134"/>
    <w:rsid w:val="5E135BA1"/>
    <w:rsid w:val="5E1D1079"/>
    <w:rsid w:val="5EDA6373"/>
    <w:rsid w:val="5F0C00BF"/>
    <w:rsid w:val="601F4136"/>
    <w:rsid w:val="6031773D"/>
    <w:rsid w:val="606D7C3D"/>
    <w:rsid w:val="60C45E60"/>
    <w:rsid w:val="618E773C"/>
    <w:rsid w:val="62123B3B"/>
    <w:rsid w:val="622D3D77"/>
    <w:rsid w:val="634A483E"/>
    <w:rsid w:val="63A76D6E"/>
    <w:rsid w:val="642B45E0"/>
    <w:rsid w:val="64604EAC"/>
    <w:rsid w:val="64740A1C"/>
    <w:rsid w:val="64DF79CD"/>
    <w:rsid w:val="66457796"/>
    <w:rsid w:val="6695111E"/>
    <w:rsid w:val="66A5387A"/>
    <w:rsid w:val="66BA5854"/>
    <w:rsid w:val="67656B1B"/>
    <w:rsid w:val="67AE419D"/>
    <w:rsid w:val="67B22635"/>
    <w:rsid w:val="683769EB"/>
    <w:rsid w:val="688650AE"/>
    <w:rsid w:val="68BF6DF6"/>
    <w:rsid w:val="698C50B9"/>
    <w:rsid w:val="69D47128"/>
    <w:rsid w:val="6ADE7537"/>
    <w:rsid w:val="6B221B0E"/>
    <w:rsid w:val="6B506044"/>
    <w:rsid w:val="6C5067B1"/>
    <w:rsid w:val="6C7543E1"/>
    <w:rsid w:val="6C963B87"/>
    <w:rsid w:val="6C9F4DA0"/>
    <w:rsid w:val="6CA96079"/>
    <w:rsid w:val="6CAC1F8A"/>
    <w:rsid w:val="6CC81EA4"/>
    <w:rsid w:val="6D3756D1"/>
    <w:rsid w:val="6D37776E"/>
    <w:rsid w:val="6D3E293F"/>
    <w:rsid w:val="6DBD66CF"/>
    <w:rsid w:val="6EEE4B4A"/>
    <w:rsid w:val="6F782CCB"/>
    <w:rsid w:val="6FFC5967"/>
    <w:rsid w:val="701E297D"/>
    <w:rsid w:val="704838FD"/>
    <w:rsid w:val="709119F6"/>
    <w:rsid w:val="71F7318A"/>
    <w:rsid w:val="721A3870"/>
    <w:rsid w:val="72951E3C"/>
    <w:rsid w:val="72DB435C"/>
    <w:rsid w:val="739641CD"/>
    <w:rsid w:val="7416289C"/>
    <w:rsid w:val="746335E0"/>
    <w:rsid w:val="74B1717B"/>
    <w:rsid w:val="74D13CD9"/>
    <w:rsid w:val="754C749B"/>
    <w:rsid w:val="75AB1C93"/>
    <w:rsid w:val="75DF2050"/>
    <w:rsid w:val="75F95225"/>
    <w:rsid w:val="76013DC0"/>
    <w:rsid w:val="761B163F"/>
    <w:rsid w:val="76810114"/>
    <w:rsid w:val="76A5065C"/>
    <w:rsid w:val="76D56113"/>
    <w:rsid w:val="76E41762"/>
    <w:rsid w:val="7717316E"/>
    <w:rsid w:val="77603777"/>
    <w:rsid w:val="77901BB9"/>
    <w:rsid w:val="77C7479C"/>
    <w:rsid w:val="77EC0C4E"/>
    <w:rsid w:val="78066149"/>
    <w:rsid w:val="786C31EE"/>
    <w:rsid w:val="788E3223"/>
    <w:rsid w:val="78E06AB0"/>
    <w:rsid w:val="791F1447"/>
    <w:rsid w:val="798E0318"/>
    <w:rsid w:val="7A630025"/>
    <w:rsid w:val="7AD93877"/>
    <w:rsid w:val="7BFC0690"/>
    <w:rsid w:val="7CC540BD"/>
    <w:rsid w:val="7CFB6C1C"/>
    <w:rsid w:val="7D162B61"/>
    <w:rsid w:val="7D277D65"/>
    <w:rsid w:val="7D423759"/>
    <w:rsid w:val="7D695F1A"/>
    <w:rsid w:val="7DD956AA"/>
    <w:rsid w:val="7E2D5B39"/>
    <w:rsid w:val="7E3239CA"/>
    <w:rsid w:val="7E9956EB"/>
    <w:rsid w:val="7ED160D1"/>
    <w:rsid w:val="7FDE3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99"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paragraph" w:styleId="3">
    <w:name w:val="heading 1"/>
    <w:basedOn w:val="1"/>
    <w:next w:val="1"/>
    <w:qFormat/>
    <w:uiPriority w:val="0"/>
    <w:pPr>
      <w:keepNext/>
      <w:keepLines/>
      <w:spacing w:line="360" w:lineRule="auto"/>
      <w:jc w:val="center"/>
      <w:outlineLvl w:val="0"/>
    </w:pPr>
    <w:rPr>
      <w:b/>
      <w:bCs/>
      <w:kern w:val="44"/>
      <w:sz w:val="44"/>
      <w:szCs w:val="44"/>
    </w:rPr>
  </w:style>
  <w:style w:type="paragraph" w:styleId="4">
    <w:name w:val="heading 2"/>
    <w:basedOn w:val="1"/>
    <w:next w:val="1"/>
    <w:qFormat/>
    <w:uiPriority w:val="0"/>
    <w:pPr>
      <w:tabs>
        <w:tab w:val="left" w:pos="540"/>
      </w:tabs>
      <w:adjustRightInd w:val="0"/>
      <w:snapToGrid w:val="0"/>
      <w:spacing w:line="360" w:lineRule="auto"/>
      <w:jc w:val="center"/>
      <w:outlineLvl w:val="1"/>
    </w:pPr>
    <w:rPr>
      <w:rFonts w:ascii="Arial" w:hAnsi="Arial"/>
      <w:b/>
      <w:sz w:val="28"/>
      <w:szCs w:val="20"/>
    </w:rPr>
  </w:style>
  <w:style w:type="paragraph" w:styleId="5">
    <w:name w:val="heading 3"/>
    <w:basedOn w:val="1"/>
    <w:next w:val="1"/>
    <w:qFormat/>
    <w:uiPriority w:val="9"/>
    <w:pPr>
      <w:keepNext/>
      <w:keepLines/>
      <w:spacing w:before="260" w:after="260" w:line="416" w:lineRule="auto"/>
      <w:outlineLvl w:val="2"/>
    </w:pPr>
    <w:rPr>
      <w:b/>
      <w:bCs/>
      <w:sz w:val="32"/>
      <w:szCs w:val="32"/>
    </w:rPr>
  </w:style>
  <w:style w:type="character" w:default="1" w:styleId="26">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6">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7">
    <w:name w:val="toa heading"/>
    <w:basedOn w:val="1"/>
    <w:next w:val="1"/>
    <w:qFormat/>
    <w:uiPriority w:val="0"/>
    <w:pPr>
      <w:spacing w:before="120"/>
    </w:pPr>
    <w:rPr>
      <w:rFonts w:ascii="Cambria" w:hAnsi="Cambria"/>
      <w:sz w:val="24"/>
      <w:szCs w:val="20"/>
    </w:rPr>
  </w:style>
  <w:style w:type="paragraph" w:styleId="8">
    <w:name w:val="index 6"/>
    <w:basedOn w:val="1"/>
    <w:next w:val="1"/>
    <w:qFormat/>
    <w:uiPriority w:val="99"/>
    <w:pPr>
      <w:ind w:left="2100"/>
    </w:pPr>
  </w:style>
  <w:style w:type="paragraph" w:styleId="9">
    <w:name w:val="Body Text"/>
    <w:basedOn w:val="1"/>
    <w:next w:val="10"/>
    <w:qFormat/>
    <w:uiPriority w:val="99"/>
    <w:pPr>
      <w:numPr>
        <w:ilvl w:val="0"/>
        <w:numId w:val="1"/>
      </w:numPr>
      <w:tabs>
        <w:tab w:val="clear" w:pos="780"/>
      </w:tabs>
      <w:ind w:left="0" w:firstLine="0"/>
    </w:pPr>
    <w:rPr>
      <w:rFonts w:ascii="黑体" w:eastAsia="黑体"/>
      <w:sz w:val="22"/>
    </w:rPr>
  </w:style>
  <w:style w:type="paragraph" w:styleId="10">
    <w:name w:val="Date"/>
    <w:basedOn w:val="1"/>
    <w:next w:val="1"/>
    <w:qFormat/>
    <w:uiPriority w:val="0"/>
    <w:pPr>
      <w:ind w:left="100"/>
    </w:pPr>
    <w:rPr>
      <w:sz w:val="24"/>
      <w:szCs w:val="20"/>
    </w:rPr>
  </w:style>
  <w:style w:type="paragraph" w:styleId="11">
    <w:name w:val="Body Text Indent"/>
    <w:basedOn w:val="1"/>
    <w:next w:val="1"/>
    <w:qFormat/>
    <w:uiPriority w:val="0"/>
    <w:pPr>
      <w:spacing w:after="120"/>
      <w:ind w:left="200" w:leftChars="200"/>
    </w:pPr>
  </w:style>
  <w:style w:type="paragraph" w:styleId="12">
    <w:name w:val="toc 3"/>
    <w:basedOn w:val="1"/>
    <w:next w:val="1"/>
    <w:qFormat/>
    <w:uiPriority w:val="0"/>
    <w:pPr>
      <w:ind w:left="840" w:leftChars="400"/>
    </w:pPr>
  </w:style>
  <w:style w:type="paragraph" w:styleId="13">
    <w:name w:val="Plain Text"/>
    <w:basedOn w:val="1"/>
    <w:next w:val="14"/>
    <w:qFormat/>
    <w:uiPriority w:val="0"/>
    <w:rPr>
      <w:rFonts w:ascii="宋体"/>
      <w:color w:val="000000"/>
      <w:szCs w:val="20"/>
      <w:u w:val="none" w:color="000000"/>
    </w:rPr>
  </w:style>
  <w:style w:type="paragraph" w:styleId="14">
    <w:name w:val="index 7"/>
    <w:basedOn w:val="1"/>
    <w:next w:val="1"/>
    <w:qFormat/>
    <w:uiPriority w:val="0"/>
    <w:pPr>
      <w:autoSpaceDE/>
      <w:autoSpaceDN/>
      <w:adjustRightInd/>
      <w:ind w:left="1200" w:leftChars="1200"/>
    </w:pPr>
    <w:rPr>
      <w:color w:val="auto"/>
      <w:kern w:val="2"/>
      <w:szCs w:val="24"/>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toc 1"/>
    <w:basedOn w:val="1"/>
    <w:next w:val="1"/>
    <w:qFormat/>
    <w:uiPriority w:val="0"/>
  </w:style>
  <w:style w:type="paragraph" w:styleId="18">
    <w:name w:val="footnote text"/>
    <w:basedOn w:val="1"/>
    <w:semiHidden/>
    <w:unhideWhenUsed/>
    <w:qFormat/>
    <w:uiPriority w:val="99"/>
    <w:pPr>
      <w:snapToGrid w:val="0"/>
      <w:jc w:val="left"/>
    </w:pPr>
    <w:rPr>
      <w:sz w:val="18"/>
      <w:szCs w:val="18"/>
    </w:rPr>
  </w:style>
  <w:style w:type="paragraph" w:styleId="19">
    <w:name w:val="toc 2"/>
    <w:basedOn w:val="1"/>
    <w:next w:val="1"/>
    <w:qFormat/>
    <w:uiPriority w:val="0"/>
    <w:pPr>
      <w:ind w:left="420" w:leftChars="200"/>
    </w:pPr>
  </w:style>
  <w:style w:type="paragraph" w:styleId="20">
    <w:name w:val="Body Text 2"/>
    <w:basedOn w:val="1"/>
    <w:qFormat/>
    <w:uiPriority w:val="0"/>
    <w:pPr>
      <w:tabs>
        <w:tab w:val="left" w:pos="0"/>
      </w:tabs>
      <w:spacing w:line="400" w:lineRule="atLeast"/>
    </w:pPr>
    <w:rPr>
      <w:rFonts w:ascii="Arial" w:hAnsi="Arial"/>
      <w:color w:val="000000"/>
    </w:rPr>
  </w:style>
  <w:style w:type="paragraph" w:styleId="21">
    <w:name w:val="Normal (Web)"/>
    <w:basedOn w:val="1"/>
    <w:next w:val="22"/>
    <w:qFormat/>
    <w:uiPriority w:val="99"/>
    <w:pPr>
      <w:widowControl/>
      <w:jc w:val="left"/>
    </w:pPr>
    <w:rPr>
      <w:rFonts w:ascii="宋体" w:hAnsi="宋体" w:eastAsia="宋体" w:cs="宋体"/>
      <w:kern w:val="0"/>
      <w:sz w:val="24"/>
      <w:szCs w:val="24"/>
    </w:rPr>
  </w:style>
  <w:style w:type="paragraph" w:customStyle="1" w:styleId="22">
    <w:name w:val="toc 4"/>
    <w:next w:val="1"/>
    <w:qFormat/>
    <w:uiPriority w:val="0"/>
    <w:pPr>
      <w:wordWrap w:val="0"/>
      <w:ind w:left="1275"/>
      <w:jc w:val="both"/>
    </w:pPr>
    <w:rPr>
      <w:rFonts w:ascii="Times New Roman" w:hAnsi="Times New Roman" w:eastAsia="宋体" w:cs="Times New Roman"/>
      <w:sz w:val="21"/>
      <w:lang w:val="en-US" w:eastAsia="zh-CN" w:bidi="ar-SA"/>
    </w:rPr>
  </w:style>
  <w:style w:type="paragraph" w:styleId="23">
    <w:name w:val="Body Text First Indent 2"/>
    <w:basedOn w:val="11"/>
    <w:semiHidden/>
    <w:unhideWhenUsed/>
    <w:qFormat/>
    <w:uiPriority w:val="99"/>
    <w:pPr>
      <w:ind w:firstLine="420" w:firstLineChars="200"/>
    </w:p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0"/>
    <w:rPr>
      <w:b/>
      <w:bCs/>
    </w:rPr>
  </w:style>
  <w:style w:type="character" w:styleId="28">
    <w:name w:val="Hyperlink"/>
    <w:qFormat/>
    <w:uiPriority w:val="99"/>
    <w:rPr>
      <w:color w:val="0000FF"/>
      <w:u w:val="single"/>
    </w:rPr>
  </w:style>
  <w:style w:type="character" w:styleId="29">
    <w:name w:val="footnote reference"/>
    <w:basedOn w:val="26"/>
    <w:semiHidden/>
    <w:unhideWhenUsed/>
    <w:qFormat/>
    <w:uiPriority w:val="99"/>
    <w:rPr>
      <w:vertAlign w:val="superscript"/>
    </w:rPr>
  </w:style>
  <w:style w:type="character" w:styleId="30">
    <w:name w:val="HTML Sample"/>
    <w:basedOn w:val="26"/>
    <w:qFormat/>
    <w:uiPriority w:val="0"/>
    <w:rPr>
      <w:rFonts w:ascii="Courier New" w:hAnsi="Courier New"/>
    </w:rPr>
  </w:style>
  <w:style w:type="paragraph" w:customStyle="1" w:styleId="31">
    <w:name w:val="正文格式"/>
    <w:basedOn w:val="1"/>
    <w:qFormat/>
    <w:uiPriority w:val="99"/>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32">
    <w:name w:val="_Style 2"/>
    <w:basedOn w:val="3"/>
    <w:next w:val="1"/>
    <w:qFormat/>
    <w:uiPriority w:val="39"/>
    <w:pPr>
      <w:widowControl/>
      <w:tabs>
        <w:tab w:val="left" w:pos="715"/>
      </w:tabs>
      <w:spacing w:before="480" w:after="0" w:line="276" w:lineRule="auto"/>
      <w:jc w:val="left"/>
      <w:outlineLvl w:val="9"/>
    </w:pPr>
    <w:rPr>
      <w:rFonts w:ascii="Cambria" w:hAnsi="Cambria" w:eastAsia="宋体" w:cs="Times New Roman"/>
      <w:color w:val="365F91"/>
      <w:kern w:val="0"/>
      <w:sz w:val="28"/>
      <w:szCs w:val="28"/>
    </w:rPr>
  </w:style>
  <w:style w:type="paragraph" w:customStyle="1" w:styleId="33">
    <w:name w:val="文档正文"/>
    <w:basedOn w:val="6"/>
    <w:qFormat/>
    <w:uiPriority w:val="0"/>
    <w:pPr>
      <w:spacing w:line="360" w:lineRule="auto"/>
    </w:pPr>
    <w:rPr>
      <w:rFonts w:ascii="宋体" w:hAnsi="宋体"/>
      <w:b/>
      <w:bCs/>
    </w:rPr>
  </w:style>
  <w:style w:type="paragraph" w:customStyle="1" w:styleId="34">
    <w:name w:val="Heading #2|1"/>
    <w:basedOn w:val="1"/>
    <w:qFormat/>
    <w:uiPriority w:val="0"/>
    <w:pPr>
      <w:widowControl w:val="0"/>
      <w:shd w:val="clear" w:color="auto" w:fill="auto"/>
      <w:spacing w:before="60" w:after="270"/>
      <w:jc w:val="center"/>
      <w:outlineLvl w:val="1"/>
    </w:pPr>
    <w:rPr>
      <w:rFonts w:ascii="宋体" w:hAnsi="宋体" w:eastAsia="宋体" w:cs="宋体"/>
      <w:sz w:val="36"/>
      <w:szCs w:val="36"/>
      <w:u w:val="none"/>
      <w:shd w:val="clear" w:color="auto" w:fill="auto"/>
      <w:lang w:val="zh-TW" w:eastAsia="zh-TW" w:bidi="zh-TW"/>
    </w:rPr>
  </w:style>
  <w:style w:type="paragraph" w:customStyle="1" w:styleId="35">
    <w:name w:val="Body text|2"/>
    <w:basedOn w:val="1"/>
    <w:qFormat/>
    <w:uiPriority w:val="0"/>
    <w:pPr>
      <w:widowControl w:val="0"/>
      <w:shd w:val="clear" w:color="auto" w:fill="auto"/>
      <w:spacing w:after="260"/>
      <w:ind w:firstLine="140"/>
    </w:pPr>
    <w:rPr>
      <w:rFonts w:ascii="宋体" w:hAnsi="宋体" w:eastAsia="宋体" w:cs="宋体"/>
      <w:sz w:val="30"/>
      <w:szCs w:val="30"/>
      <w:u w:val="none"/>
      <w:shd w:val="clear" w:color="auto" w:fill="auto"/>
      <w:lang w:val="zh-TW" w:eastAsia="zh-TW" w:bidi="zh-TW"/>
    </w:rPr>
  </w:style>
  <w:style w:type="paragraph" w:customStyle="1" w:styleId="36">
    <w:name w:val="Body text|1"/>
    <w:basedOn w:val="1"/>
    <w:qFormat/>
    <w:uiPriority w:val="0"/>
    <w:pPr>
      <w:widowControl w:val="0"/>
      <w:shd w:val="clear" w:color="auto" w:fill="auto"/>
      <w:spacing w:line="454" w:lineRule="auto"/>
      <w:ind w:firstLine="140"/>
    </w:pPr>
    <w:rPr>
      <w:rFonts w:ascii="宋体" w:hAnsi="宋体" w:eastAsia="宋体" w:cs="宋体"/>
      <w:sz w:val="22"/>
      <w:szCs w:val="22"/>
      <w:u w:val="none"/>
      <w:shd w:val="clear" w:color="auto" w:fill="auto"/>
      <w:lang w:val="zh-TW" w:eastAsia="zh-TW" w:bidi="zh-TW"/>
    </w:rPr>
  </w:style>
  <w:style w:type="paragraph" w:customStyle="1" w:styleId="37">
    <w:name w:val="Other|1"/>
    <w:basedOn w:val="1"/>
    <w:qFormat/>
    <w:uiPriority w:val="0"/>
    <w:pPr>
      <w:widowControl w:val="0"/>
      <w:shd w:val="clear" w:color="auto" w:fill="auto"/>
      <w:spacing w:line="454" w:lineRule="auto"/>
      <w:ind w:firstLine="140"/>
    </w:pPr>
    <w:rPr>
      <w:rFonts w:ascii="宋体" w:hAnsi="宋体" w:eastAsia="宋体" w:cs="宋体"/>
      <w:sz w:val="22"/>
      <w:szCs w:val="22"/>
      <w:u w:val="none"/>
      <w:shd w:val="clear" w:color="auto" w:fill="auto"/>
      <w:lang w:val="zh-TW" w:eastAsia="zh-TW" w:bidi="zh-TW"/>
    </w:rPr>
  </w:style>
  <w:style w:type="paragraph" w:customStyle="1" w:styleId="38">
    <w:name w:val="Table caption|1"/>
    <w:basedOn w:val="1"/>
    <w:qFormat/>
    <w:uiPriority w:val="0"/>
    <w:pPr>
      <w:widowControl w:val="0"/>
      <w:shd w:val="clear" w:color="auto" w:fill="auto"/>
    </w:pPr>
    <w:rPr>
      <w:rFonts w:ascii="宋体" w:hAnsi="宋体" w:eastAsia="宋体" w:cs="宋体"/>
      <w:sz w:val="22"/>
      <w:szCs w:val="22"/>
      <w:u w:val="none"/>
      <w:shd w:val="clear" w:color="auto" w:fill="auto"/>
      <w:lang w:val="zh-TW" w:eastAsia="zh-TW" w:bidi="zh-TW"/>
    </w:rPr>
  </w:style>
  <w:style w:type="paragraph" w:customStyle="1" w:styleId="39">
    <w:name w:val="Table Paragraph"/>
    <w:basedOn w:val="1"/>
    <w:qFormat/>
    <w:uiPriority w:val="1"/>
    <w:pPr>
      <w:autoSpaceDE w:val="0"/>
      <w:autoSpaceDN w:val="0"/>
      <w:adjustRightInd w:val="0"/>
      <w:jc w:val="left"/>
    </w:pPr>
    <w:rPr>
      <w:rFonts w:ascii="Times New Roman" w:hAnsi="Times New Roman" w:eastAsia="宋体" w:cs="Times New Roman"/>
      <w:kern w:val="0"/>
      <w:sz w:val="24"/>
      <w:szCs w:val="24"/>
    </w:rPr>
  </w:style>
  <w:style w:type="paragraph" w:customStyle="1" w:styleId="40">
    <w:name w:val="black1"/>
    <w:basedOn w:val="1"/>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41">
    <w:name w:val="图例"/>
    <w:basedOn w:val="1"/>
    <w:qFormat/>
    <w:uiPriority w:val="0"/>
    <w:pPr>
      <w:spacing w:before="120" w:beforeLines="0" w:after="120" w:afterLines="0" w:line="360" w:lineRule="auto"/>
      <w:jc w:val="center"/>
    </w:pPr>
    <w:rPr>
      <w:rFonts w:eastAsia="仿宋_GB2312"/>
      <w:b/>
      <w:sz w:val="24"/>
    </w:rPr>
  </w:style>
  <w:style w:type="paragraph" w:customStyle="1" w:styleId="42">
    <w:name w:val="WPS Plain"/>
    <w:qFormat/>
    <w:uiPriority w:val="0"/>
    <w:rPr>
      <w:rFonts w:ascii="Times New Roman" w:hAnsi="Times New Roman" w:eastAsia="宋体" w:cs="Times New Roman"/>
      <w:lang w:val="en-US" w:eastAsia="zh-CN" w:bidi="ar-SA"/>
    </w:rPr>
  </w:style>
  <w:style w:type="paragraph" w:customStyle="1" w:styleId="43">
    <w:name w:val="样式 左侧:  0 厘米 悬挂缩进: 2.5 字符"/>
    <w:basedOn w:val="1"/>
    <w:qFormat/>
    <w:uiPriority w:val="0"/>
    <w:pPr>
      <w:ind w:left="525" w:hanging="525" w:hangingChars="250"/>
    </w:pPr>
    <w:rPr>
      <w:szCs w:val="20"/>
    </w:rPr>
  </w:style>
  <w:style w:type="character" w:customStyle="1" w:styleId="44">
    <w:name w:val="font11"/>
    <w:basedOn w:val="26"/>
    <w:qFormat/>
    <w:uiPriority w:val="0"/>
    <w:rPr>
      <w:rFonts w:ascii="Calibri" w:hAnsi="Calibri" w:cs="Calibri"/>
      <w:color w:val="000000"/>
      <w:sz w:val="20"/>
      <w:szCs w:val="20"/>
      <w:u w:val="none"/>
    </w:rPr>
  </w:style>
  <w:style w:type="paragraph" w:customStyle="1" w:styleId="45">
    <w:name w:val="Normal"/>
    <w:qFormat/>
    <w:uiPriority w:val="0"/>
    <w:rPr>
      <w:rFonts w:ascii="Times New Roman" w:hAnsi="Times New Roman" w:eastAsia="Times New Roman" w:cs="Times New Roman"/>
      <w:sz w:val="24"/>
      <w:szCs w:val="24"/>
      <w:lang w:bidi="ar-SA"/>
    </w:rPr>
  </w:style>
  <w:style w:type="paragraph" w:customStyle="1" w:styleId="46">
    <w:name w:val="样式 样式 样式 左侧:  2 字符1 + 首行缩进:  2 字符1 + 首行缩进:  2 字符"/>
    <w:basedOn w:val="1"/>
    <w:qFormat/>
    <w:uiPriority w:val="0"/>
    <w:pPr>
      <w:widowControl/>
      <w:adjustRightInd w:val="0"/>
      <w:spacing w:before="60" w:after="120" w:line="440" w:lineRule="atLeast"/>
      <w:ind w:firstLine="480"/>
      <w:textAlignment w:val="baseline"/>
    </w:pPr>
    <w:rPr>
      <w:sz w:val="24"/>
    </w:rPr>
  </w:style>
  <w:style w:type="paragraph" w:customStyle="1" w:styleId="47">
    <w:name w:val="BodyText1I2"/>
    <w:basedOn w:val="48"/>
    <w:qFormat/>
    <w:uiPriority w:val="0"/>
    <w:pPr>
      <w:spacing w:after="0" w:afterLines="0" w:line="500" w:lineRule="exact"/>
      <w:ind w:left="0" w:leftChars="0" w:firstLine="420" w:firstLineChars="200"/>
      <w:jc w:val="both"/>
    </w:pPr>
    <w:rPr>
      <w:kern w:val="2"/>
      <w:sz w:val="21"/>
      <w:szCs w:val="24"/>
      <w:lang w:bidi="ar-SA"/>
    </w:rPr>
  </w:style>
  <w:style w:type="paragraph" w:customStyle="1" w:styleId="48">
    <w:name w:val="BodyTextIndent"/>
    <w:basedOn w:val="1"/>
    <w:qFormat/>
    <w:uiPriority w:val="0"/>
    <w:pPr>
      <w:widowControl/>
      <w:spacing w:after="120" w:afterLines="0" w:line="240" w:lineRule="auto"/>
      <w:ind w:left="420" w:leftChars="200"/>
      <w:jc w:val="both"/>
    </w:pPr>
    <w:rPr>
      <w:rFonts w:ascii="宋体" w:hAnsi="宋体" w:eastAsia="宋体" w:cs="宋体"/>
      <w:kern w:val="2"/>
      <w:sz w:val="21"/>
      <w:szCs w:val="22"/>
      <w:lang w:eastAsia="en-US" w:bidi="ar-SA"/>
    </w:rPr>
  </w:style>
  <w:style w:type="character" w:customStyle="1" w:styleId="49">
    <w:name w:val="font51"/>
    <w:basedOn w:val="26"/>
    <w:qFormat/>
    <w:uiPriority w:val="0"/>
    <w:rPr>
      <w:rFonts w:hint="eastAsia" w:ascii="宋体" w:hAnsi="宋体" w:eastAsia="宋体" w:cs="宋体"/>
      <w:color w:val="000000"/>
      <w:sz w:val="22"/>
      <w:szCs w:val="22"/>
      <w:u w:val="none"/>
    </w:rPr>
  </w:style>
  <w:style w:type="character" w:customStyle="1" w:styleId="50">
    <w:name w:val="font61"/>
    <w:basedOn w:val="26"/>
    <w:qFormat/>
    <w:uiPriority w:val="0"/>
    <w:rPr>
      <w:rFonts w:hint="eastAsia" w:ascii="宋体" w:hAnsi="宋体" w:eastAsia="宋体" w:cs="宋体"/>
      <w:color w:val="000000"/>
      <w:sz w:val="24"/>
      <w:szCs w:val="24"/>
      <w:u w:val="none"/>
    </w:rPr>
  </w:style>
  <w:style w:type="character" w:customStyle="1" w:styleId="51">
    <w:name w:val="font91"/>
    <w:basedOn w:val="26"/>
    <w:qFormat/>
    <w:uiPriority w:val="0"/>
    <w:rPr>
      <w:rFonts w:hint="default" w:ascii="Verdana" w:hAnsi="Verdana" w:cs="Verdana"/>
      <w:color w:val="000000"/>
      <w:sz w:val="24"/>
      <w:szCs w:val="24"/>
      <w:u w:val="none"/>
    </w:rPr>
  </w:style>
  <w:style w:type="character" w:customStyle="1" w:styleId="52">
    <w:name w:val="font31"/>
    <w:basedOn w:val="26"/>
    <w:qFormat/>
    <w:uiPriority w:val="0"/>
    <w:rPr>
      <w:rFonts w:hint="eastAsia" w:ascii="宋体" w:hAnsi="宋体" w:eastAsia="宋体" w:cs="宋体"/>
      <w:color w:val="000000"/>
      <w:sz w:val="21"/>
      <w:szCs w:val="21"/>
      <w:u w:val="none"/>
    </w:rPr>
  </w:style>
  <w:style w:type="character" w:customStyle="1" w:styleId="53">
    <w:name w:val="font01"/>
    <w:basedOn w:val="26"/>
    <w:qFormat/>
    <w:uiPriority w:val="0"/>
    <w:rPr>
      <w:rFonts w:hint="eastAsia" w:ascii="宋体" w:hAnsi="宋体" w:eastAsia="宋体" w:cs="宋体"/>
      <w:color w:val="000000"/>
      <w:sz w:val="22"/>
      <w:szCs w:val="22"/>
      <w:u w:val="none"/>
    </w:rPr>
  </w:style>
  <w:style w:type="character" w:customStyle="1" w:styleId="54">
    <w:name w:val="NormalCharacter"/>
    <w:qFormat/>
    <w:uiPriority w:val="0"/>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97</Pages>
  <Words>50811</Words>
  <Characters>55301</Characters>
  <Lines>0</Lines>
  <Paragraphs>0</Paragraphs>
  <TotalTime>0</TotalTime>
  <ScaleCrop>false</ScaleCrop>
  <LinksUpToDate>false</LinksUpToDate>
  <CharactersWithSpaces>59206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2021-12-16T05:31:00Z</dcterms:created>
  <dc:creator>梦花雨   甘安莉</dc:creator>
  <cp:lastModifiedBy>尘埃里点、开不出爱情的花</cp:lastModifiedBy>
  <cp:lastPrinted>2022-09-05T04:29:00Z</cp:lastPrinted>
  <dcterms:modified xsi:type="dcterms:W3CDTF">2022-10-09T07:25:57Z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DEC63E6696464C9394C13ADC17C5580A</vt:lpwstr>
  </property>
</Properties>
</file>